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5000" w:type="pct"/>
        <w:tblInd w:w="0" w:type="dxa"/>
        <w:tblLayout w:type="autofit"/>
        <w:tblCellMar>
          <w:top w:w="0" w:type="dxa"/>
          <w:left w:w="108" w:type="dxa"/>
          <w:bottom w:w="0" w:type="dxa"/>
          <w:right w:w="108" w:type="dxa"/>
        </w:tblCellMar>
      </w:tblPr>
      <w:tblGrid>
        <w:gridCol w:w="2840"/>
        <w:gridCol w:w="2841"/>
        <w:gridCol w:w="2841"/>
      </w:tblGrid>
      <w:tr>
        <w:tblPrEx>
          <w:tblCellMar>
            <w:top w:w="0" w:type="dxa"/>
            <w:left w:w="108" w:type="dxa"/>
            <w:bottom w:w="0" w:type="dxa"/>
            <w:right w:w="108" w:type="dxa"/>
          </w:tblCellMar>
        </w:tblPrEx>
        <w:trPr>
          <w:wBefore w:w="0" w:type="dxa"/>
          <w:wAfter w:w="0" w:type="dxa"/>
        </w:trPr>
        <w:tc>
          <w:tcPr>
            <w:tcW w:w="1666" w:type="pct"/>
            <w:noWrap w:val="0"/>
            <w:vAlign w:val="top"/>
          </w:tcPr>
          <w:p>
            <w:pPr>
              <w:adjustRightInd w:val="0"/>
              <w:snapToGrid w:val="0"/>
              <w:spacing w:line="440" w:lineRule="exact"/>
              <w:rPr>
                <w:rFonts w:hint="eastAsia"/>
                <w:sz w:val="24"/>
              </w:rPr>
            </w:pPr>
            <w:bookmarkStart w:id="2" w:name="_GoBack"/>
            <w:bookmarkEnd w:id="2"/>
            <w:r>
              <w:rPr>
                <w:rFonts w:hint="eastAsia"/>
                <w:sz w:val="24"/>
              </w:rPr>
              <w:t>证券代码：000881</w:t>
            </w:r>
          </w:p>
        </w:tc>
        <w:tc>
          <w:tcPr>
            <w:tcW w:w="1667" w:type="pct"/>
            <w:noWrap w:val="0"/>
            <w:vAlign w:val="top"/>
          </w:tcPr>
          <w:p>
            <w:pPr>
              <w:adjustRightInd w:val="0"/>
              <w:snapToGrid w:val="0"/>
              <w:spacing w:line="440" w:lineRule="exact"/>
              <w:jc w:val="center"/>
              <w:rPr>
                <w:rFonts w:hint="eastAsia"/>
                <w:sz w:val="24"/>
              </w:rPr>
            </w:pPr>
            <w:r>
              <w:rPr>
                <w:rFonts w:hint="eastAsia"/>
                <w:sz w:val="24"/>
              </w:rPr>
              <w:t>证券简称：中广核技</w:t>
            </w:r>
          </w:p>
        </w:tc>
        <w:tc>
          <w:tcPr>
            <w:tcW w:w="1667" w:type="pct"/>
            <w:noWrap w:val="0"/>
            <w:vAlign w:val="top"/>
          </w:tcPr>
          <w:p>
            <w:pPr>
              <w:adjustRightInd w:val="0"/>
              <w:snapToGrid w:val="0"/>
              <w:spacing w:line="440" w:lineRule="exact"/>
              <w:jc w:val="right"/>
              <w:rPr>
                <w:rFonts w:hint="default" w:eastAsia="宋体"/>
                <w:color w:val="auto"/>
                <w:sz w:val="24"/>
                <w:lang w:val="en-US" w:eastAsia="zh-CN"/>
              </w:rPr>
            </w:pPr>
            <w:r>
              <w:rPr>
                <w:rFonts w:hint="eastAsia"/>
                <w:color w:val="auto"/>
                <w:sz w:val="24"/>
              </w:rPr>
              <w:t>公告编号：202</w:t>
            </w:r>
            <w:r>
              <w:rPr>
                <w:rFonts w:hint="eastAsia"/>
                <w:color w:val="auto"/>
                <w:sz w:val="24"/>
                <w:lang w:val="en-US" w:eastAsia="zh-CN"/>
              </w:rPr>
              <w:t>4</w:t>
            </w:r>
            <w:r>
              <w:rPr>
                <w:color w:val="auto"/>
                <w:sz w:val="24"/>
              </w:rPr>
              <w:t>-</w:t>
            </w:r>
            <w:r>
              <w:rPr>
                <w:rFonts w:hint="eastAsia"/>
                <w:color w:val="auto"/>
                <w:sz w:val="24"/>
              </w:rPr>
              <w:t>0</w:t>
            </w:r>
            <w:r>
              <w:rPr>
                <w:rFonts w:hint="eastAsia"/>
                <w:color w:val="auto"/>
                <w:sz w:val="24"/>
                <w:lang w:val="en-US" w:eastAsia="zh-CN"/>
              </w:rPr>
              <w:t>27</w:t>
            </w:r>
          </w:p>
        </w:tc>
      </w:tr>
    </w:tbl>
    <w:p>
      <w:pPr>
        <w:snapToGrid w:val="0"/>
        <w:spacing w:before="156" w:beforeLines="50"/>
        <w:jc w:val="center"/>
        <w:rPr>
          <w:b/>
          <w:sz w:val="36"/>
          <w:szCs w:val="36"/>
        </w:rPr>
      </w:pPr>
      <w:r>
        <w:rPr>
          <w:rFonts w:hint="eastAsia"/>
          <w:b/>
          <w:sz w:val="36"/>
          <w:szCs w:val="36"/>
        </w:rPr>
        <w:t>中广核核技术发展股份有限公司</w:t>
      </w:r>
    </w:p>
    <w:p>
      <w:pPr>
        <w:snapToGrid w:val="0"/>
        <w:jc w:val="center"/>
        <w:rPr>
          <w:b/>
          <w:sz w:val="36"/>
          <w:szCs w:val="36"/>
        </w:rPr>
      </w:pPr>
      <w:r>
        <w:rPr>
          <w:rFonts w:hint="eastAsia"/>
          <w:b/>
          <w:sz w:val="36"/>
          <w:szCs w:val="36"/>
        </w:rPr>
        <w:t>关于会计政策变更的公告</w:t>
      </w:r>
    </w:p>
    <w:p>
      <w:pPr>
        <w:snapToGrid w:val="0"/>
        <w:spacing w:before="156" w:beforeLines="50" w:line="360" w:lineRule="auto"/>
        <w:ind w:firstLine="422" w:firstLineChars="200"/>
        <w:rPr>
          <w:rFonts w:hint="eastAsia"/>
          <w:b/>
          <w:szCs w:val="21"/>
        </w:rPr>
      </w:pPr>
      <w:r>
        <w:rPr>
          <w:rFonts w:hint="eastAsia"/>
          <w:b/>
          <w:szCs w:val="21"/>
        </w:rPr>
        <w:t>本公司及董事会全体成员保证信息披露的内容真实、准确、完整，没有虚假记载、误导性陈述或者重大遗漏。</w:t>
      </w:r>
    </w:p>
    <w:p>
      <w:pPr>
        <w:adjustRightInd w:val="0"/>
        <w:snapToGrid w:val="0"/>
        <w:spacing w:line="360" w:lineRule="auto"/>
        <w:ind w:firstLine="482" w:firstLineChars="200"/>
        <w:outlineLvl w:val="0"/>
        <w:rPr>
          <w:rFonts w:hint="eastAsia"/>
          <w:b/>
          <w:sz w:val="24"/>
          <w:szCs w:val="24"/>
        </w:rPr>
      </w:pPr>
      <w:r>
        <w:rPr>
          <w:rFonts w:hint="eastAsia"/>
          <w:b/>
          <w:sz w:val="24"/>
          <w:szCs w:val="24"/>
        </w:rPr>
        <w:t>一、本次会计政策变更情况概述</w:t>
      </w:r>
    </w:p>
    <w:p>
      <w:pPr>
        <w:adjustRightInd w:val="0"/>
        <w:snapToGrid w:val="0"/>
        <w:spacing w:line="360" w:lineRule="auto"/>
        <w:ind w:firstLine="480" w:firstLineChars="200"/>
        <w:rPr>
          <w:rFonts w:hint="eastAsia"/>
          <w:sz w:val="24"/>
          <w:szCs w:val="24"/>
          <w:lang w:val="en-US" w:eastAsia="zh-CN"/>
        </w:rPr>
      </w:pPr>
      <w:r>
        <w:rPr>
          <w:rFonts w:hint="eastAsia"/>
          <w:sz w:val="24"/>
          <w:szCs w:val="24"/>
          <w:lang w:val="en-US" w:eastAsia="zh-CN"/>
        </w:rPr>
        <w:t>1、会计政策变更的原因</w:t>
      </w:r>
    </w:p>
    <w:p>
      <w:pPr>
        <w:adjustRightInd w:val="0"/>
        <w:snapToGrid w:val="0"/>
        <w:spacing w:line="360" w:lineRule="auto"/>
        <w:ind w:firstLine="480" w:firstLineChars="200"/>
        <w:rPr>
          <w:rFonts w:hint="eastAsia"/>
          <w:sz w:val="24"/>
          <w:szCs w:val="24"/>
          <w:lang w:val="en-US" w:eastAsia="zh-CN"/>
        </w:rPr>
      </w:pPr>
      <w:r>
        <w:rPr>
          <w:rFonts w:hint="eastAsia"/>
          <w:sz w:val="24"/>
          <w:szCs w:val="24"/>
          <w:lang w:val="en-US" w:eastAsia="zh-CN"/>
        </w:rPr>
        <w:t>2022年11月30日，财政部颁布了《企业会计准则解释第16号》（财会〔2022〕31号），规范了“关于单项交易产生的资产和负债相关的递延所得税不适用初始确认豁免的会计处理”，并要求该内容自2023年1月1日起施行。</w:t>
      </w:r>
    </w:p>
    <w:p>
      <w:pPr>
        <w:adjustRightInd w:val="0"/>
        <w:snapToGrid w:val="0"/>
        <w:spacing w:line="360" w:lineRule="auto"/>
        <w:ind w:firstLine="480" w:firstLineChars="200"/>
        <w:rPr>
          <w:rFonts w:hint="eastAsia"/>
          <w:sz w:val="24"/>
          <w:szCs w:val="24"/>
          <w:lang w:val="en-US" w:eastAsia="zh-CN"/>
        </w:rPr>
      </w:pPr>
      <w:r>
        <w:rPr>
          <w:rFonts w:hint="eastAsia"/>
          <w:sz w:val="24"/>
          <w:szCs w:val="24"/>
          <w:lang w:val="en-US" w:eastAsia="zh-CN"/>
        </w:rPr>
        <w:t>2023年10月25日，财政部颁布了《企业会计准则解释第17号》（财会〔2023〕21号），规范了“关于流动负债与非流动负债的划分”、“关于供应商融资安排的披露”和“关于售后回租交易的会计处理”，并要求该内容自2024年1月1日起施行。</w:t>
      </w:r>
    </w:p>
    <w:p>
      <w:pPr>
        <w:adjustRightInd w:val="0"/>
        <w:snapToGrid w:val="0"/>
        <w:spacing w:line="360" w:lineRule="auto"/>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2、变更前公司采用的会计政策</w:t>
      </w:r>
    </w:p>
    <w:p>
      <w:pPr>
        <w:widowControl w:val="0"/>
        <w:numPr>
          <w:ilvl w:val="0"/>
          <w:numId w:val="0"/>
        </w:numPr>
        <w:adjustRightInd w:val="0"/>
        <w:snapToGrid w:val="0"/>
        <w:spacing w:line="360" w:lineRule="auto"/>
        <w:ind w:firstLine="480" w:firstLineChars="200"/>
        <w:jc w:val="both"/>
        <w:rPr>
          <w:rFonts w:hint="default"/>
          <w:sz w:val="24"/>
          <w:szCs w:val="24"/>
          <w:lang w:val="en-US" w:eastAsia="zh-CN"/>
        </w:rPr>
      </w:pPr>
      <w:r>
        <w:rPr>
          <w:rFonts w:hint="default"/>
          <w:sz w:val="24"/>
          <w:szCs w:val="24"/>
          <w:lang w:val="en-US" w:eastAsia="zh-CN"/>
        </w:rPr>
        <w:t>本次会计政策变更前，公司按照财政部发布的《企业会计准则--基本准则》和各项具体会计准则、企业会计准则应用指南、企业会计准则解释公告以及其他相关规定执行。</w:t>
      </w:r>
    </w:p>
    <w:p>
      <w:pPr>
        <w:adjustRightInd w:val="0"/>
        <w:snapToGrid w:val="0"/>
        <w:spacing w:line="360" w:lineRule="auto"/>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3、变更后公司采用的会计政策</w:t>
      </w:r>
    </w:p>
    <w:p>
      <w:pPr>
        <w:widowControl w:val="0"/>
        <w:numPr>
          <w:ilvl w:val="0"/>
          <w:numId w:val="0"/>
        </w:numPr>
        <w:adjustRightInd w:val="0"/>
        <w:snapToGrid w:val="0"/>
        <w:spacing w:line="360" w:lineRule="auto"/>
        <w:ind w:firstLine="480" w:firstLineChars="200"/>
        <w:jc w:val="both"/>
        <w:rPr>
          <w:rFonts w:hint="eastAsia"/>
          <w:sz w:val="24"/>
          <w:szCs w:val="24"/>
          <w:lang w:val="en-US" w:eastAsia="zh-CN"/>
        </w:rPr>
      </w:pPr>
      <w:r>
        <w:rPr>
          <w:rFonts w:hint="eastAsia"/>
          <w:sz w:val="24"/>
          <w:szCs w:val="24"/>
          <w:lang w:val="en-US" w:eastAsia="zh-CN"/>
        </w:rPr>
        <w:t>由于上述会计准则修订，公司将按照财政部发布的《企业会计准则解释第16号》（财会〔2022〕31号）、《企业会计准则解释第17号》（财会〔2023〕21号）要求执行。其他未变更部分，公司仍按照财政部前期发布的《企业会计准则—基本准则》和各项具体会计准则、企业会计准则应用指南、企业会计准则解释公告以及其他相关规定执行。</w:t>
      </w:r>
    </w:p>
    <w:p>
      <w:pPr>
        <w:adjustRightInd w:val="0"/>
        <w:snapToGrid w:val="0"/>
        <w:spacing w:line="360" w:lineRule="auto"/>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4、会计政策变更日期</w:t>
      </w:r>
    </w:p>
    <w:p>
      <w:pPr>
        <w:widowControl w:val="0"/>
        <w:numPr>
          <w:ilvl w:val="0"/>
          <w:numId w:val="0"/>
        </w:numPr>
        <w:adjustRightInd w:val="0"/>
        <w:snapToGrid w:val="0"/>
        <w:spacing w:line="360" w:lineRule="auto"/>
        <w:ind w:firstLine="480" w:firstLineChars="200"/>
        <w:jc w:val="both"/>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公司将根据财政部相关文件规定的生效日期开始执行上述会计准则。</w:t>
      </w:r>
    </w:p>
    <w:p>
      <w:pPr>
        <w:numPr>
          <w:ilvl w:val="0"/>
          <w:numId w:val="2"/>
        </w:numPr>
        <w:adjustRightInd w:val="0"/>
        <w:snapToGrid w:val="0"/>
        <w:spacing w:line="360" w:lineRule="auto"/>
        <w:ind w:firstLine="482" w:firstLineChars="200"/>
        <w:outlineLvl w:val="0"/>
        <w:rPr>
          <w:rFonts w:hint="eastAsia" w:ascii="Times New Roman" w:hAnsi="Times New Roman" w:eastAsia="宋体" w:cs="Times New Roman"/>
          <w:b/>
          <w:sz w:val="24"/>
          <w:szCs w:val="24"/>
          <w:lang w:val="en-US" w:eastAsia="zh-CN"/>
        </w:rPr>
      </w:pPr>
      <w:r>
        <w:rPr>
          <w:rFonts w:hint="eastAsia" w:ascii="Times New Roman" w:hAnsi="Times New Roman" w:eastAsia="宋体" w:cs="Times New Roman"/>
          <w:b/>
          <w:sz w:val="24"/>
          <w:szCs w:val="24"/>
          <w:lang w:val="en-US" w:eastAsia="zh-CN"/>
        </w:rPr>
        <w:t>本次会计政策变更的主要内容</w:t>
      </w:r>
    </w:p>
    <w:p>
      <w:pPr>
        <w:spacing w:line="360" w:lineRule="auto"/>
        <w:ind w:firstLine="482" w:firstLineChars="200"/>
        <w:rPr>
          <w:rFonts w:hint="default" w:ascii="Times New Roman" w:hAnsi="Times New Roman" w:cs="Times New Roman"/>
          <w:b/>
          <w:bCs w:val="0"/>
          <w:kern w:val="0"/>
          <w:sz w:val="24"/>
        </w:rPr>
      </w:pPr>
      <w:r>
        <w:rPr>
          <w:rFonts w:hint="default" w:ascii="Times New Roman" w:hAnsi="Times New Roman" w:cs="Times New Roman"/>
          <w:b/>
          <w:bCs w:val="0"/>
          <w:kern w:val="0"/>
          <w:sz w:val="24"/>
        </w:rPr>
        <w:t>（一）根据《企业会计准则解释第16号》的要求，会计政策变更的主要内容如下：</w:t>
      </w:r>
    </w:p>
    <w:p>
      <w:pPr>
        <w:spacing w:line="360" w:lineRule="auto"/>
        <w:ind w:firstLine="480" w:firstLineChars="200"/>
        <w:rPr>
          <w:rFonts w:hint="default" w:ascii="Times New Roman" w:hAnsi="Times New Roman" w:cs="Times New Roman"/>
          <w:bCs/>
          <w:kern w:val="0"/>
          <w:sz w:val="24"/>
        </w:rPr>
      </w:pPr>
      <w:r>
        <w:rPr>
          <w:rFonts w:hint="eastAsia" w:ascii="Times New Roman" w:hAnsi="Times New Roman" w:cs="Times New Roman"/>
          <w:bCs/>
          <w:kern w:val="0"/>
          <w:sz w:val="24"/>
          <w:lang w:val="en-US" w:eastAsia="zh-CN"/>
        </w:rPr>
        <w:t>1、</w:t>
      </w:r>
      <w:r>
        <w:rPr>
          <w:rFonts w:hint="default" w:ascii="Times New Roman" w:hAnsi="Times New Roman" w:cs="Times New Roman"/>
          <w:bCs/>
          <w:kern w:val="0"/>
          <w:sz w:val="24"/>
        </w:rPr>
        <w:t>关于单项交易产生的资产和负债相关的递延所得税不适用初始确认豁免的会计处理</w:t>
      </w:r>
    </w:p>
    <w:p>
      <w:pPr>
        <w:spacing w:line="360" w:lineRule="auto"/>
        <w:ind w:firstLine="480" w:firstLineChars="200"/>
        <w:rPr>
          <w:rFonts w:hint="default" w:ascii="Times New Roman" w:hAnsi="Times New Roman" w:cs="Times New Roman"/>
          <w:bCs/>
          <w:kern w:val="0"/>
          <w:sz w:val="24"/>
        </w:rPr>
      </w:pPr>
      <w:r>
        <w:rPr>
          <w:rFonts w:hint="default" w:ascii="Times New Roman" w:hAnsi="Times New Roman" w:cs="Times New Roman"/>
          <w:bCs/>
          <w:kern w:val="0"/>
          <w:sz w:val="24"/>
        </w:rPr>
        <w:t>对于不是企业合并且交易发生时既不影响会计利润也不影响应纳税所得额（或可抵扣亏损）、且初始确认的资产和负债导致产生等额应纳税暂时性差异和可抵扣暂时性差异的单项交易，不适用《企业会计准则第 18 号——所得税》关于豁免初始确认递延所得税负债和递延所得税资产的规定。企业对该交易因资产和负债的初始确认所产生的应纳税暂时性差异和可抵扣暂时性差异，应当根据《企业会计准则第 18 号——所得税》的有关规定，在交易发生时分别确认相应的递延所得税负债和递延所得税资产。</w:t>
      </w:r>
    </w:p>
    <w:p>
      <w:pPr>
        <w:spacing w:line="360" w:lineRule="auto"/>
        <w:ind w:firstLine="482" w:firstLineChars="200"/>
        <w:rPr>
          <w:rFonts w:hint="default" w:ascii="Times New Roman" w:hAnsi="Times New Roman" w:cs="Times New Roman"/>
          <w:b/>
          <w:bCs w:val="0"/>
          <w:kern w:val="0"/>
          <w:sz w:val="24"/>
        </w:rPr>
      </w:pPr>
      <w:r>
        <w:rPr>
          <w:rFonts w:hint="default" w:ascii="Times New Roman" w:hAnsi="Times New Roman" w:cs="Times New Roman"/>
          <w:b/>
          <w:bCs w:val="0"/>
          <w:kern w:val="0"/>
          <w:sz w:val="24"/>
        </w:rPr>
        <w:t>（二）根据《企业会计准则解释第 17号》的要求，会计政策变更的主要内容如下：</w:t>
      </w:r>
    </w:p>
    <w:p>
      <w:pPr>
        <w:spacing w:line="360" w:lineRule="auto"/>
        <w:ind w:firstLine="480" w:firstLineChars="200"/>
        <w:rPr>
          <w:rFonts w:hint="default" w:ascii="Times New Roman" w:hAnsi="Times New Roman" w:cs="Times New Roman"/>
          <w:bCs/>
          <w:kern w:val="0"/>
          <w:sz w:val="24"/>
        </w:rPr>
      </w:pPr>
      <w:r>
        <w:rPr>
          <w:rFonts w:hint="default" w:ascii="Times New Roman" w:hAnsi="Times New Roman" w:cs="Times New Roman"/>
          <w:bCs/>
          <w:kern w:val="0"/>
          <w:sz w:val="24"/>
        </w:rPr>
        <w:t>1</w:t>
      </w:r>
      <w:r>
        <w:rPr>
          <w:rFonts w:hint="eastAsia" w:ascii="Times New Roman" w:hAnsi="Times New Roman" w:cs="Times New Roman"/>
          <w:bCs/>
          <w:kern w:val="0"/>
          <w:sz w:val="24"/>
          <w:lang w:eastAsia="zh-CN"/>
        </w:rPr>
        <w:t>、</w:t>
      </w:r>
      <w:r>
        <w:rPr>
          <w:rFonts w:hint="default" w:ascii="Times New Roman" w:hAnsi="Times New Roman" w:cs="Times New Roman"/>
          <w:bCs/>
          <w:kern w:val="0"/>
          <w:sz w:val="24"/>
        </w:rPr>
        <w:t xml:space="preserve">关于流动负债与非流动负债的划分 </w:t>
      </w:r>
    </w:p>
    <w:p>
      <w:pPr>
        <w:spacing w:line="360" w:lineRule="auto"/>
        <w:ind w:firstLine="480" w:firstLineChars="200"/>
        <w:rPr>
          <w:rFonts w:hint="default" w:ascii="Times New Roman" w:hAnsi="Times New Roman" w:cs="Times New Roman"/>
          <w:bCs/>
          <w:kern w:val="0"/>
          <w:sz w:val="24"/>
        </w:rPr>
      </w:pPr>
      <w:r>
        <w:rPr>
          <w:rFonts w:hint="default" w:ascii="Times New Roman" w:hAnsi="Times New Roman" w:cs="Times New Roman"/>
          <w:bCs/>
          <w:kern w:val="0"/>
          <w:sz w:val="24"/>
        </w:rPr>
        <w:t>企业在资产负债表日没有将负债清偿推迟至资产负债表日后一年以上的实质性权利的，该负债应当归类为流动负债。企业是否有行使上述权利的主观可能性，并不影响负债的流动性划分。附有契约条件且归类为非流动负债的贷款安排，且企业推迟清偿负债的权利取决于在资产负债表日后一年内应遵循的契约条件的，企业应当在附注中披露下列信息：</w:t>
      </w:r>
      <w:r>
        <w:rPr>
          <w:rFonts w:hint="eastAsia" w:ascii="Times New Roman" w:hAnsi="Times New Roman" w:cs="Times New Roman"/>
          <w:bCs/>
          <w:kern w:val="0"/>
          <w:sz w:val="24"/>
          <w:lang w:eastAsia="zh-CN"/>
        </w:rPr>
        <w:t>（</w:t>
      </w:r>
      <w:r>
        <w:rPr>
          <w:rFonts w:hint="eastAsia" w:ascii="Times New Roman" w:hAnsi="Times New Roman" w:cs="Times New Roman"/>
          <w:bCs/>
          <w:kern w:val="0"/>
          <w:sz w:val="24"/>
          <w:lang w:val="en-US" w:eastAsia="zh-CN"/>
        </w:rPr>
        <w:t>1</w:t>
      </w:r>
      <w:r>
        <w:rPr>
          <w:rFonts w:hint="eastAsia" w:ascii="Times New Roman" w:hAnsi="Times New Roman" w:cs="Times New Roman"/>
          <w:bCs/>
          <w:kern w:val="0"/>
          <w:sz w:val="24"/>
          <w:lang w:eastAsia="zh-CN"/>
        </w:rPr>
        <w:t>）</w:t>
      </w:r>
      <w:r>
        <w:rPr>
          <w:rFonts w:hint="default" w:ascii="Times New Roman" w:hAnsi="Times New Roman" w:cs="Times New Roman"/>
          <w:bCs/>
          <w:kern w:val="0"/>
          <w:sz w:val="24"/>
        </w:rPr>
        <w:t>关于契约条件的信息，以及相关负债的账面价值。</w:t>
      </w:r>
      <w:r>
        <w:rPr>
          <w:rFonts w:hint="eastAsia" w:ascii="Times New Roman" w:hAnsi="Times New Roman" w:cs="Times New Roman"/>
          <w:bCs/>
          <w:kern w:val="0"/>
          <w:sz w:val="24"/>
          <w:lang w:eastAsia="zh-CN"/>
        </w:rPr>
        <w:t>（</w:t>
      </w:r>
      <w:r>
        <w:rPr>
          <w:rFonts w:hint="eastAsia" w:ascii="Times New Roman" w:hAnsi="Times New Roman" w:cs="Times New Roman"/>
          <w:bCs/>
          <w:kern w:val="0"/>
          <w:sz w:val="24"/>
          <w:lang w:val="en-US" w:eastAsia="zh-CN"/>
        </w:rPr>
        <w:t>2</w:t>
      </w:r>
      <w:r>
        <w:rPr>
          <w:rFonts w:hint="eastAsia" w:ascii="Times New Roman" w:hAnsi="Times New Roman" w:cs="Times New Roman"/>
          <w:bCs/>
          <w:kern w:val="0"/>
          <w:sz w:val="24"/>
          <w:lang w:eastAsia="zh-CN"/>
        </w:rPr>
        <w:t>）</w:t>
      </w:r>
      <w:r>
        <w:rPr>
          <w:rFonts w:hint="default" w:ascii="Times New Roman" w:hAnsi="Times New Roman" w:cs="Times New Roman"/>
          <w:bCs/>
          <w:kern w:val="0"/>
          <w:sz w:val="24"/>
        </w:rPr>
        <w:t>存在表明企业可能难以遵循契约条件的事实和情况。</w:t>
      </w:r>
    </w:p>
    <w:p>
      <w:pPr>
        <w:spacing w:line="360" w:lineRule="auto"/>
        <w:ind w:firstLine="480" w:firstLineChars="200"/>
        <w:rPr>
          <w:rFonts w:hint="default" w:ascii="Times New Roman" w:hAnsi="Times New Roman" w:cs="Times New Roman"/>
          <w:bCs/>
          <w:kern w:val="0"/>
          <w:sz w:val="24"/>
        </w:rPr>
      </w:pPr>
      <w:r>
        <w:rPr>
          <w:rFonts w:hint="default" w:ascii="Times New Roman" w:hAnsi="Times New Roman" w:cs="Times New Roman"/>
          <w:bCs/>
          <w:kern w:val="0"/>
          <w:sz w:val="24"/>
        </w:rPr>
        <w:t>2</w:t>
      </w:r>
      <w:r>
        <w:rPr>
          <w:rFonts w:hint="eastAsia" w:ascii="Times New Roman" w:hAnsi="Times New Roman" w:cs="Times New Roman"/>
          <w:bCs/>
          <w:kern w:val="0"/>
          <w:sz w:val="24"/>
          <w:lang w:eastAsia="zh-CN"/>
        </w:rPr>
        <w:t>、</w:t>
      </w:r>
      <w:r>
        <w:rPr>
          <w:rFonts w:hint="default" w:ascii="Times New Roman" w:hAnsi="Times New Roman" w:cs="Times New Roman"/>
          <w:bCs/>
          <w:kern w:val="0"/>
          <w:sz w:val="24"/>
        </w:rPr>
        <w:t xml:space="preserve">关于供应商融资安排的披露 </w:t>
      </w:r>
    </w:p>
    <w:p>
      <w:pPr>
        <w:spacing w:line="360" w:lineRule="auto"/>
        <w:ind w:firstLine="480" w:firstLineChars="200"/>
        <w:rPr>
          <w:rFonts w:hint="default" w:ascii="Times New Roman" w:hAnsi="Times New Roman" w:cs="Times New Roman"/>
          <w:bCs/>
          <w:kern w:val="0"/>
          <w:sz w:val="24"/>
        </w:rPr>
      </w:pPr>
      <w:r>
        <w:rPr>
          <w:rFonts w:hint="default" w:ascii="Times New Roman" w:hAnsi="Times New Roman" w:cs="Times New Roman"/>
          <w:bCs/>
          <w:kern w:val="0"/>
          <w:sz w:val="24"/>
        </w:rPr>
        <w:t>企业在根据《企业会计准则第31号——现金流量表》进行附注披露时，应当汇总披露与供应商融资安排有关的下列信息：</w:t>
      </w:r>
    </w:p>
    <w:p>
      <w:pPr>
        <w:spacing w:line="360" w:lineRule="auto"/>
        <w:ind w:firstLine="480" w:firstLineChars="200"/>
        <w:rPr>
          <w:rFonts w:hint="default" w:ascii="Times New Roman" w:hAnsi="Times New Roman" w:cs="Times New Roman"/>
          <w:bCs/>
          <w:kern w:val="0"/>
          <w:sz w:val="24"/>
        </w:rPr>
      </w:pPr>
      <w:r>
        <w:rPr>
          <w:rFonts w:hint="default" w:ascii="Times New Roman" w:hAnsi="Times New Roman" w:cs="Times New Roman"/>
          <w:bCs/>
          <w:kern w:val="0"/>
          <w:sz w:val="24"/>
        </w:rPr>
        <w:t>（1）供应商融资安排的条款和条件</w:t>
      </w:r>
      <w:r>
        <w:rPr>
          <w:rFonts w:hint="eastAsia" w:ascii="Times New Roman" w:hAnsi="Times New Roman" w:cs="Times New Roman"/>
          <w:bCs/>
          <w:kern w:val="0"/>
          <w:sz w:val="24"/>
          <w:lang w:val="en-US" w:eastAsia="zh-CN"/>
        </w:rPr>
        <w:t>；</w:t>
      </w:r>
      <w:r>
        <w:rPr>
          <w:rFonts w:hint="default" w:ascii="Times New Roman" w:hAnsi="Times New Roman" w:cs="Times New Roman"/>
          <w:bCs/>
          <w:kern w:val="0"/>
          <w:sz w:val="24"/>
        </w:rPr>
        <w:t>（2）报告期期初和期末的下列信息：①属于供应商融资安排的金融负债在资产负债表中的列报项目和账面金额。②第①项披露的金融负债中供应商已从融资提供方收到款项的，应披露所对应的金融负债的列报项目和账面金额。③第①项披露的金融负债的付款到期日区间，以及不属于供应商融资安排的可比应付账款的付款到期日区间</w:t>
      </w:r>
      <w:r>
        <w:rPr>
          <w:rFonts w:hint="eastAsia" w:ascii="Times New Roman" w:hAnsi="Times New Roman" w:cs="Times New Roman"/>
          <w:bCs/>
          <w:kern w:val="0"/>
          <w:sz w:val="24"/>
          <w:lang w:val="en-US" w:eastAsia="zh-CN"/>
        </w:rPr>
        <w:t>；</w:t>
      </w:r>
      <w:r>
        <w:rPr>
          <w:rFonts w:hint="default" w:ascii="Times New Roman" w:hAnsi="Times New Roman" w:cs="Times New Roman"/>
          <w:bCs/>
          <w:kern w:val="0"/>
          <w:sz w:val="24"/>
        </w:rPr>
        <w:t>（3）第（2）①项披露的金融负债账面金额中不涉及现金收支的当期变动的类型和影响。</w:t>
      </w:r>
    </w:p>
    <w:p>
      <w:pPr>
        <w:spacing w:line="360" w:lineRule="auto"/>
        <w:ind w:firstLine="480" w:firstLineChars="200"/>
        <w:rPr>
          <w:rFonts w:hint="default" w:ascii="Times New Roman" w:hAnsi="Times New Roman" w:cs="Times New Roman"/>
          <w:bCs/>
          <w:kern w:val="0"/>
          <w:sz w:val="24"/>
        </w:rPr>
      </w:pPr>
      <w:r>
        <w:rPr>
          <w:rFonts w:hint="default" w:ascii="Times New Roman" w:hAnsi="Times New Roman" w:cs="Times New Roman"/>
          <w:bCs/>
          <w:kern w:val="0"/>
          <w:sz w:val="24"/>
        </w:rPr>
        <w:t>3</w:t>
      </w:r>
      <w:r>
        <w:rPr>
          <w:rFonts w:hint="eastAsia" w:ascii="Times New Roman" w:hAnsi="Times New Roman" w:cs="Times New Roman"/>
          <w:bCs/>
          <w:kern w:val="0"/>
          <w:sz w:val="24"/>
          <w:lang w:eastAsia="zh-CN"/>
        </w:rPr>
        <w:t>、</w:t>
      </w:r>
      <w:r>
        <w:rPr>
          <w:rFonts w:hint="default" w:ascii="Times New Roman" w:hAnsi="Times New Roman" w:cs="Times New Roman"/>
          <w:bCs/>
          <w:kern w:val="0"/>
          <w:sz w:val="24"/>
        </w:rPr>
        <w:t xml:space="preserve">关于售后租回交易的会计处理 </w:t>
      </w:r>
    </w:p>
    <w:p>
      <w:pPr>
        <w:spacing w:line="360" w:lineRule="auto"/>
        <w:ind w:firstLine="480" w:firstLineChars="200"/>
        <w:rPr>
          <w:rFonts w:hint="default" w:ascii="Times New Roman" w:hAnsi="Times New Roman" w:cs="Times New Roman"/>
          <w:bCs/>
          <w:kern w:val="0"/>
          <w:sz w:val="24"/>
        </w:rPr>
      </w:pPr>
      <w:r>
        <w:rPr>
          <w:rFonts w:hint="default" w:ascii="Times New Roman" w:hAnsi="Times New Roman" w:cs="Times New Roman"/>
          <w:bCs/>
          <w:kern w:val="0"/>
          <w:sz w:val="24"/>
        </w:rPr>
        <w:t>售后租回交易中的资产转让属于销售的，在租赁期开始日后，承租人应当按照《企业会计准则第21号——租赁》对售后租回所形成的使用权资产进行后续计量，并按照《企业会计准则第21号——租赁》的规定对售后租回所形成的租赁负债进行后续计量。承租人在对售后租回所形成的租赁负债进行后续计量时，确定租赁付款额或变更后租赁付款额的方式不得导致其确认与租回所获得的使用权有关的利得或损失。租赁变更导致租赁范围缩小或租赁期缩短的，承租人仍应当按照《企业会计准则第21号——租赁》的规定将部分终止或完全终止租赁的相关利得或损失计入当期损益，不受前款规定的限制。</w:t>
      </w:r>
    </w:p>
    <w:p>
      <w:pPr>
        <w:widowControl w:val="0"/>
        <w:numPr>
          <w:ilvl w:val="0"/>
          <w:numId w:val="0"/>
        </w:numPr>
        <w:adjustRightInd w:val="0"/>
        <w:snapToGrid w:val="0"/>
        <w:spacing w:line="360" w:lineRule="auto"/>
        <w:ind w:firstLine="482" w:firstLineChars="200"/>
        <w:jc w:val="both"/>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三、本次会计政策变更对公司的影响</w:t>
      </w:r>
    </w:p>
    <w:p>
      <w:pPr>
        <w:widowControl w:val="0"/>
        <w:numPr>
          <w:ilvl w:val="0"/>
          <w:numId w:val="0"/>
        </w:numPr>
        <w:adjustRightInd w:val="0"/>
        <w:snapToGrid w:val="0"/>
        <w:spacing w:line="360" w:lineRule="auto"/>
        <w:ind w:firstLine="480" w:firstLineChars="200"/>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本次会计政策变更是公司根据财政部相关规定和要求进行的变更，符合相关 法律法规的规定，执行变更后的会计政策能够客观、公允地反映公司的财务状况 和经营成果。本次会计政策变更不会对公司当期的财务状况、经营成果和现金流 量产生重大影响，不存在损害公司及股东利益的情况。</w:t>
      </w:r>
    </w:p>
    <w:p>
      <w:pPr>
        <w:numPr>
          <w:ilvl w:val="0"/>
          <w:numId w:val="0"/>
        </w:numPr>
        <w:adjustRightInd w:val="0"/>
        <w:snapToGrid w:val="0"/>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本次会计政策变更对公司合并报表和母公司报表相关项目影响如下：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360" w:firstLineChars="200"/>
        <w:jc w:val="righ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单位：元</w:t>
      </w:r>
    </w:p>
    <w:tbl>
      <w:tblPr>
        <w:tblStyle w:val="33"/>
        <w:tblW w:w="8385" w:type="dxa"/>
        <w:tblInd w:w="142"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111"/>
        <w:gridCol w:w="2519"/>
        <w:gridCol w:w="1877"/>
        <w:gridCol w:w="187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blHeader/>
        </w:trPr>
        <w:tc>
          <w:tcPr>
            <w:tcW w:w="2111" w:type="dxa"/>
            <w:vMerge w:val="restart"/>
            <w:tcBorders>
              <w:top w:val="single" w:color="auto" w:sz="4" w:space="0"/>
              <w:left w:val="single" w:color="auto" w:sz="4" w:space="0"/>
              <w:bottom w:val="single" w:color="auto" w:sz="4" w:space="0"/>
              <w:right w:val="single" w:color="auto" w:sz="4" w:space="0"/>
            </w:tcBorders>
            <w:shd w:val="clear" w:color="auto" w:fill="D7D7D7"/>
            <w:noWrap w:val="0"/>
            <w:vAlign w:val="center"/>
          </w:tcPr>
          <w:p>
            <w:pPr>
              <w:snapToGrid w:val="0"/>
              <w:spacing w:line="240" w:lineRule="auto"/>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会计政策变更的内容和原因</w:t>
            </w:r>
          </w:p>
        </w:tc>
        <w:tc>
          <w:tcPr>
            <w:tcW w:w="2519" w:type="dxa"/>
            <w:vMerge w:val="restart"/>
            <w:tcBorders>
              <w:top w:val="single" w:color="auto" w:sz="4" w:space="0"/>
              <w:left w:val="single" w:color="auto" w:sz="4" w:space="0"/>
              <w:bottom w:val="single" w:color="auto" w:sz="4" w:space="0"/>
              <w:right w:val="single" w:color="auto" w:sz="4" w:space="0"/>
            </w:tcBorders>
            <w:shd w:val="clear" w:color="auto" w:fill="D7D7D7"/>
            <w:noWrap w:val="0"/>
            <w:vAlign w:val="center"/>
          </w:tcPr>
          <w:p>
            <w:pPr>
              <w:snapToGrid w:val="0"/>
              <w:spacing w:line="240" w:lineRule="auto"/>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受影响的报表项目</w:t>
            </w:r>
          </w:p>
        </w:tc>
        <w:tc>
          <w:tcPr>
            <w:tcW w:w="3755" w:type="dxa"/>
            <w:gridSpan w:val="2"/>
            <w:tcBorders>
              <w:top w:val="single" w:color="auto" w:sz="4" w:space="0"/>
              <w:left w:val="single" w:color="auto" w:sz="4" w:space="0"/>
              <w:bottom w:val="single" w:color="auto" w:sz="4" w:space="0"/>
              <w:right w:val="single" w:color="auto" w:sz="4" w:space="0"/>
            </w:tcBorders>
            <w:shd w:val="clear" w:color="auto" w:fill="D7D7D7"/>
            <w:noWrap w:val="0"/>
            <w:vAlign w:val="center"/>
          </w:tcPr>
          <w:p>
            <w:pPr>
              <w:snapToGrid w:val="0"/>
              <w:spacing w:line="240" w:lineRule="auto"/>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对</w:t>
            </w:r>
            <w:r>
              <w:rPr>
                <w:rFonts w:ascii="Times New Roman" w:hAnsi="Times New Roman" w:eastAsia="宋体" w:cs="Times New Roman"/>
                <w:color w:val="000000"/>
                <w:sz w:val="18"/>
                <w:szCs w:val="18"/>
              </w:rPr>
              <w:t>2022</w:t>
            </w:r>
            <w:r>
              <w:rPr>
                <w:rFonts w:hint="eastAsia" w:ascii="Times New Roman" w:hAnsi="Times New Roman" w:eastAsia="宋体" w:cs="Times New Roman"/>
                <w:color w:val="000000"/>
                <w:sz w:val="18"/>
                <w:szCs w:val="18"/>
              </w:rPr>
              <w:t>年</w:t>
            </w:r>
            <w:r>
              <w:rPr>
                <w:rFonts w:ascii="Times New Roman" w:hAnsi="Times New Roman" w:eastAsia="宋体" w:cs="Times New Roman"/>
                <w:color w:val="000000"/>
                <w:sz w:val="18"/>
                <w:szCs w:val="18"/>
              </w:rPr>
              <w:t>1</w:t>
            </w:r>
            <w:r>
              <w:rPr>
                <w:rFonts w:hint="eastAsia" w:ascii="Times New Roman" w:hAnsi="Times New Roman" w:eastAsia="宋体" w:cs="Times New Roman"/>
                <w:color w:val="000000"/>
                <w:sz w:val="18"/>
                <w:szCs w:val="18"/>
              </w:rPr>
              <w:t>月</w:t>
            </w:r>
            <w:r>
              <w:rPr>
                <w:rFonts w:ascii="Times New Roman" w:hAnsi="Times New Roman" w:eastAsia="宋体" w:cs="Times New Roman"/>
                <w:color w:val="000000"/>
                <w:sz w:val="18"/>
                <w:szCs w:val="18"/>
              </w:rPr>
              <w:t>1</w:t>
            </w:r>
            <w:r>
              <w:rPr>
                <w:rFonts w:hint="eastAsia" w:ascii="Times New Roman" w:hAnsi="Times New Roman" w:eastAsia="宋体" w:cs="Times New Roman"/>
                <w:color w:val="000000"/>
                <w:sz w:val="18"/>
                <w:szCs w:val="18"/>
              </w:rPr>
              <w:t>日余额的影响金额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blHeader/>
        </w:trPr>
        <w:tc>
          <w:tcPr>
            <w:tcW w:w="2111" w:type="dxa"/>
            <w:vMerge w:val="continue"/>
            <w:tcBorders>
              <w:top w:val="single" w:color="auto" w:sz="4" w:space="0"/>
              <w:left w:val="single" w:color="auto" w:sz="4" w:space="0"/>
              <w:bottom w:val="single" w:color="auto" w:sz="4" w:space="0"/>
              <w:right w:val="single" w:color="auto" w:sz="4" w:space="0"/>
            </w:tcBorders>
            <w:shd w:val="clear" w:color="auto" w:fill="D7D7D7"/>
            <w:noWrap w:val="0"/>
            <w:vAlign w:val="center"/>
          </w:tcPr>
          <w:p>
            <w:pPr>
              <w:snapToGrid w:val="0"/>
              <w:spacing w:line="240" w:lineRule="auto"/>
              <w:jc w:val="center"/>
              <w:rPr>
                <w:rFonts w:ascii="Times New Roman" w:hAnsi="Times New Roman" w:eastAsia="宋体" w:cs="Times New Roman"/>
                <w:color w:val="000000"/>
                <w:sz w:val="18"/>
                <w:szCs w:val="18"/>
              </w:rPr>
            </w:pPr>
          </w:p>
        </w:tc>
        <w:tc>
          <w:tcPr>
            <w:tcW w:w="2519" w:type="dxa"/>
            <w:vMerge w:val="continue"/>
            <w:tcBorders>
              <w:top w:val="single" w:color="auto" w:sz="4" w:space="0"/>
              <w:left w:val="single" w:color="auto" w:sz="4" w:space="0"/>
              <w:bottom w:val="single" w:color="auto" w:sz="4" w:space="0"/>
              <w:right w:val="single" w:color="auto" w:sz="4" w:space="0"/>
            </w:tcBorders>
            <w:shd w:val="clear" w:color="auto" w:fill="D7D7D7"/>
            <w:noWrap w:val="0"/>
            <w:vAlign w:val="center"/>
          </w:tcPr>
          <w:p>
            <w:pPr>
              <w:snapToGrid w:val="0"/>
              <w:spacing w:line="240" w:lineRule="auto"/>
              <w:jc w:val="center"/>
              <w:rPr>
                <w:rFonts w:ascii="Times New Roman" w:hAnsi="Times New Roman" w:eastAsia="宋体" w:cs="Times New Roman"/>
                <w:color w:val="000000"/>
                <w:sz w:val="18"/>
                <w:szCs w:val="18"/>
              </w:rPr>
            </w:pPr>
          </w:p>
        </w:tc>
        <w:tc>
          <w:tcPr>
            <w:tcW w:w="1877"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snapToGrid w:val="0"/>
              <w:spacing w:line="240" w:lineRule="auto"/>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合并</w:t>
            </w:r>
          </w:p>
        </w:tc>
        <w:tc>
          <w:tcPr>
            <w:tcW w:w="1878"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snapToGrid w:val="0"/>
              <w:spacing w:line="240" w:lineRule="auto"/>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母公司</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111"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both"/>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财政部于2022年11月30日颁布了《关于印发&lt;企业会计准则解释第16号&gt;的通知》</w:t>
            </w:r>
          </w:p>
        </w:tc>
        <w:tc>
          <w:tcPr>
            <w:tcW w:w="251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both"/>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递延所得税资产</w:t>
            </w:r>
          </w:p>
        </w:tc>
        <w:tc>
          <w:tcPr>
            <w:tcW w:w="187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right"/>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605,968.08</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right"/>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21,848.73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111"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both"/>
              <w:rPr>
                <w:rFonts w:ascii="Times New Roman" w:hAnsi="Times New Roman" w:eastAsia="宋体" w:cs="Times New Roman"/>
                <w:color w:val="000000"/>
                <w:sz w:val="18"/>
                <w:szCs w:val="18"/>
              </w:rPr>
            </w:pPr>
          </w:p>
        </w:tc>
        <w:tc>
          <w:tcPr>
            <w:tcW w:w="251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both"/>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递延所得税负债</w:t>
            </w:r>
          </w:p>
        </w:tc>
        <w:tc>
          <w:tcPr>
            <w:tcW w:w="187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right"/>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-991,591.99</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right"/>
              <w:rPr>
                <w:rFonts w:ascii="Times New Roman" w:hAnsi="Times New Roman" w:eastAsia="宋体" w:cs="Times New Roman"/>
                <w:color w:val="000000"/>
                <w:sz w:val="18"/>
                <w:szCs w:val="18"/>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111"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both"/>
              <w:rPr>
                <w:rFonts w:ascii="Times New Roman" w:hAnsi="Times New Roman" w:eastAsia="宋体" w:cs="Times New Roman"/>
                <w:b/>
                <w:color w:val="0000FF"/>
                <w:sz w:val="18"/>
                <w:szCs w:val="18"/>
                <w:u w:val="single"/>
              </w:rPr>
            </w:pPr>
          </w:p>
        </w:tc>
        <w:tc>
          <w:tcPr>
            <w:tcW w:w="251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both"/>
              <w:rPr>
                <w:rFonts w:ascii="Times New Roman" w:hAnsi="Times New Roman" w:eastAsia="宋体" w:cs="Times New Roman"/>
                <w:b/>
                <w:color w:val="0000FF"/>
                <w:sz w:val="18"/>
                <w:szCs w:val="18"/>
                <w:u w:val="single"/>
              </w:rPr>
            </w:pPr>
            <w:r>
              <w:rPr>
                <w:rFonts w:hint="eastAsia" w:ascii="Times New Roman" w:hAnsi="Times New Roman" w:eastAsia="宋体" w:cs="Times New Roman"/>
                <w:color w:val="000000"/>
                <w:sz w:val="18"/>
                <w:szCs w:val="18"/>
              </w:rPr>
              <w:t>期初未分配利润</w:t>
            </w:r>
          </w:p>
        </w:tc>
        <w:tc>
          <w:tcPr>
            <w:tcW w:w="187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right"/>
              <w:rPr>
                <w:rFonts w:ascii="Times New Roman" w:hAnsi="Times New Roman" w:eastAsia="宋体" w:cs="Times New Roman"/>
                <w:b/>
                <w:color w:val="0000FF"/>
                <w:sz w:val="18"/>
                <w:szCs w:val="18"/>
                <w:u w:val="single"/>
              </w:rPr>
            </w:pPr>
            <w:r>
              <w:rPr>
                <w:rFonts w:hint="eastAsia" w:ascii="Times New Roman" w:hAnsi="Times New Roman" w:eastAsia="宋体" w:cs="Times New Roman"/>
                <w:color w:val="000000"/>
                <w:sz w:val="18"/>
                <w:szCs w:val="18"/>
              </w:rPr>
              <w:t>385,623.91</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right"/>
              <w:rPr>
                <w:rFonts w:ascii="Times New Roman" w:hAnsi="Times New Roman" w:eastAsia="宋体" w:cs="Times New Roman"/>
                <w:b/>
                <w:color w:val="0000FF"/>
                <w:sz w:val="18"/>
                <w:szCs w:val="18"/>
                <w:u w:val="single"/>
              </w:rPr>
            </w:pPr>
            <w:r>
              <w:rPr>
                <w:rFonts w:hint="eastAsia" w:ascii="Times New Roman" w:hAnsi="Times New Roman" w:eastAsia="宋体" w:cs="Times New Roman"/>
                <w:color w:val="000000"/>
                <w:sz w:val="18"/>
                <w:szCs w:val="18"/>
              </w:rPr>
              <w:t>-21,848.73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111"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both"/>
              <w:rPr>
                <w:rFonts w:ascii="Times New Roman" w:hAnsi="Times New Roman" w:eastAsia="宋体" w:cs="Times New Roman"/>
                <w:b/>
                <w:color w:val="0000FF"/>
                <w:sz w:val="18"/>
                <w:szCs w:val="18"/>
                <w:u w:val="single"/>
              </w:rPr>
            </w:pPr>
          </w:p>
        </w:tc>
        <w:tc>
          <w:tcPr>
            <w:tcW w:w="251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both"/>
              <w:rPr>
                <w:rFonts w:ascii="Times New Roman" w:hAnsi="Times New Roman" w:eastAsia="宋体" w:cs="Times New Roman"/>
                <w:b/>
                <w:color w:val="0000FF"/>
                <w:sz w:val="18"/>
                <w:szCs w:val="18"/>
                <w:u w:val="single"/>
              </w:rPr>
            </w:pPr>
            <w:r>
              <w:rPr>
                <w:rFonts w:hint="eastAsia" w:ascii="Times New Roman" w:hAnsi="Times New Roman" w:eastAsia="宋体" w:cs="Times New Roman"/>
                <w:color w:val="000000"/>
                <w:sz w:val="18"/>
                <w:szCs w:val="18"/>
              </w:rPr>
              <w:t>所得税费用</w:t>
            </w:r>
          </w:p>
        </w:tc>
        <w:tc>
          <w:tcPr>
            <w:tcW w:w="187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right"/>
              <w:rPr>
                <w:rFonts w:ascii="Times New Roman" w:hAnsi="Times New Roman" w:eastAsia="宋体" w:cs="Times New Roman"/>
                <w:b/>
                <w:color w:val="0000FF"/>
                <w:sz w:val="18"/>
                <w:szCs w:val="18"/>
                <w:u w:val="single"/>
              </w:rPr>
            </w:pPr>
          </w:p>
        </w:tc>
        <w:tc>
          <w:tcPr>
            <w:tcW w:w="187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right"/>
              <w:rPr>
                <w:rFonts w:ascii="Times New Roman" w:hAnsi="Times New Roman" w:eastAsia="宋体" w:cs="Times New Roman"/>
                <w:b/>
                <w:color w:val="0000FF"/>
                <w:sz w:val="18"/>
                <w:szCs w:val="18"/>
                <w:u w:val="singl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111"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both"/>
              <w:rPr>
                <w:rFonts w:ascii="Times New Roman" w:hAnsi="Times New Roman" w:eastAsia="宋体" w:cs="Times New Roman"/>
                <w:b/>
                <w:color w:val="0000FF"/>
                <w:sz w:val="18"/>
                <w:szCs w:val="18"/>
                <w:u w:val="single"/>
              </w:rPr>
            </w:pPr>
          </w:p>
        </w:tc>
        <w:tc>
          <w:tcPr>
            <w:tcW w:w="251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both"/>
              <w:rPr>
                <w:rFonts w:ascii="Times New Roman" w:hAnsi="Times New Roman" w:eastAsia="宋体" w:cs="Times New Roman"/>
                <w:b/>
                <w:color w:val="0000FF"/>
                <w:sz w:val="18"/>
                <w:szCs w:val="18"/>
                <w:u w:val="single"/>
              </w:rPr>
            </w:pPr>
            <w:r>
              <w:rPr>
                <w:rFonts w:hint="eastAsia" w:ascii="Times New Roman" w:hAnsi="Times New Roman" w:eastAsia="宋体" w:cs="Times New Roman"/>
                <w:color w:val="000000"/>
                <w:sz w:val="18"/>
                <w:szCs w:val="18"/>
              </w:rPr>
              <w:t>少数股东权益</w:t>
            </w:r>
          </w:p>
        </w:tc>
        <w:tc>
          <w:tcPr>
            <w:tcW w:w="187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right"/>
              <w:rPr>
                <w:rFonts w:ascii="Times New Roman" w:hAnsi="Times New Roman" w:eastAsia="宋体" w:cs="Times New Roman"/>
                <w:b/>
                <w:color w:val="0000FF"/>
                <w:sz w:val="18"/>
                <w:szCs w:val="18"/>
                <w:u w:val="single"/>
              </w:rPr>
            </w:pPr>
            <w:r>
              <w:rPr>
                <w:rFonts w:hint="eastAsia" w:ascii="Times New Roman" w:hAnsi="Times New Roman" w:eastAsia="宋体" w:cs="Times New Roman"/>
                <w:color w:val="000000"/>
                <w:sz w:val="18"/>
                <w:szCs w:val="18"/>
              </w:rPr>
              <w:t>102,871.97</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right"/>
              <w:rPr>
                <w:rFonts w:ascii="Times New Roman" w:hAnsi="Times New Roman" w:eastAsia="宋体" w:cs="Times New Roman"/>
                <w:b/>
                <w:color w:val="0000FF"/>
                <w:sz w:val="18"/>
                <w:szCs w:val="18"/>
                <w:u w:val="single"/>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111"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both"/>
              <w:rPr>
                <w:rFonts w:ascii="Times New Roman" w:hAnsi="Times New Roman" w:eastAsia="宋体" w:cs="Times New Roman"/>
                <w:b/>
                <w:color w:val="0000FF"/>
                <w:sz w:val="18"/>
                <w:szCs w:val="18"/>
                <w:u w:val="single"/>
              </w:rPr>
            </w:pPr>
          </w:p>
        </w:tc>
        <w:tc>
          <w:tcPr>
            <w:tcW w:w="251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both"/>
              <w:rPr>
                <w:rFonts w:ascii="Times New Roman" w:hAnsi="Times New Roman" w:eastAsia="宋体" w:cs="Times New Roman"/>
                <w:b/>
                <w:color w:val="0000FF"/>
                <w:sz w:val="18"/>
                <w:szCs w:val="18"/>
                <w:u w:val="single"/>
              </w:rPr>
            </w:pPr>
            <w:r>
              <w:rPr>
                <w:rFonts w:hint="eastAsia" w:ascii="Times New Roman" w:hAnsi="Times New Roman" w:eastAsia="宋体" w:cs="Times New Roman"/>
                <w:color w:val="000000"/>
                <w:sz w:val="18"/>
                <w:szCs w:val="18"/>
              </w:rPr>
              <w:t>少数股东损益</w:t>
            </w:r>
          </w:p>
        </w:tc>
        <w:tc>
          <w:tcPr>
            <w:tcW w:w="187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right"/>
              <w:rPr>
                <w:rFonts w:ascii="Times New Roman" w:hAnsi="Times New Roman" w:eastAsia="宋体" w:cs="Times New Roman"/>
                <w:b/>
                <w:color w:val="0000FF"/>
                <w:sz w:val="18"/>
                <w:szCs w:val="18"/>
                <w:u w:val="single"/>
              </w:rPr>
            </w:pPr>
            <w:r>
              <w:rPr>
                <w:rFonts w:hint="eastAsia" w:ascii="Times New Roman" w:hAnsi="Times New Roman" w:eastAsia="宋体" w:cs="Times New Roman"/>
                <w:color w:val="000000"/>
                <w:sz w:val="18"/>
                <w:szCs w:val="18"/>
              </w:rPr>
              <w:t>-102,871.97</w:t>
            </w:r>
          </w:p>
        </w:tc>
        <w:tc>
          <w:tcPr>
            <w:tcW w:w="187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right"/>
              <w:rPr>
                <w:rFonts w:ascii="Times New Roman" w:hAnsi="Times New Roman" w:eastAsia="宋体" w:cs="Times New Roman"/>
                <w:b/>
                <w:color w:val="0000FF"/>
                <w:sz w:val="18"/>
                <w:szCs w:val="18"/>
                <w:u w:val="single"/>
              </w:rPr>
            </w:pPr>
          </w:p>
        </w:tc>
      </w:tr>
    </w:tbl>
    <w:p>
      <w:pPr>
        <w:pStyle w:val="32"/>
        <w:rPr>
          <w:bCs/>
        </w:rPr>
      </w:pPr>
      <w:r>
        <w:rPr>
          <w:rFonts w:hint="eastAsia"/>
          <w:bCs/>
        </w:rPr>
        <w:t>（续）</w:t>
      </w:r>
    </w:p>
    <w:tbl>
      <w:tblPr>
        <w:tblStyle w:val="33"/>
        <w:tblW w:w="8397" w:type="dxa"/>
        <w:tblInd w:w="13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138"/>
        <w:gridCol w:w="1560"/>
        <w:gridCol w:w="1275"/>
        <w:gridCol w:w="1276"/>
        <w:gridCol w:w="1134"/>
        <w:gridCol w:w="101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blHeader/>
        </w:trPr>
        <w:tc>
          <w:tcPr>
            <w:tcW w:w="2138" w:type="dxa"/>
            <w:vMerge w:val="restart"/>
            <w:tcBorders>
              <w:top w:val="single" w:color="auto" w:sz="4" w:space="0"/>
              <w:left w:val="single" w:color="auto" w:sz="4" w:space="0"/>
              <w:bottom w:val="single" w:color="auto" w:sz="4" w:space="0"/>
              <w:right w:val="single" w:color="auto" w:sz="4" w:space="0"/>
            </w:tcBorders>
            <w:shd w:val="clear" w:color="auto" w:fill="D7D7D7"/>
            <w:noWrap w:val="0"/>
            <w:vAlign w:val="center"/>
          </w:tcPr>
          <w:p>
            <w:pPr>
              <w:snapToGrid w:val="0"/>
              <w:spacing w:line="240" w:lineRule="auto"/>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会计政策变更的内容和原因</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D7D7D7"/>
            <w:noWrap w:val="0"/>
            <w:vAlign w:val="center"/>
          </w:tcPr>
          <w:p>
            <w:pPr>
              <w:snapToGrid w:val="0"/>
              <w:spacing w:line="240" w:lineRule="auto"/>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受影响的报表项目</w:t>
            </w:r>
          </w:p>
        </w:tc>
        <w:tc>
          <w:tcPr>
            <w:tcW w:w="2551" w:type="dxa"/>
            <w:gridSpan w:val="2"/>
            <w:tcBorders>
              <w:top w:val="single" w:color="auto" w:sz="4" w:space="0"/>
              <w:left w:val="single" w:color="auto" w:sz="4" w:space="0"/>
              <w:bottom w:val="single" w:color="auto" w:sz="4" w:space="0"/>
              <w:right w:val="single" w:color="auto" w:sz="4" w:space="0"/>
            </w:tcBorders>
            <w:shd w:val="clear" w:color="auto" w:fill="D7D7D7"/>
            <w:noWrap w:val="0"/>
            <w:vAlign w:val="center"/>
          </w:tcPr>
          <w:p>
            <w:pPr>
              <w:snapToGrid w:val="0"/>
              <w:spacing w:line="240" w:lineRule="auto"/>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合并</w:t>
            </w:r>
          </w:p>
        </w:tc>
        <w:tc>
          <w:tcPr>
            <w:tcW w:w="2148" w:type="dxa"/>
            <w:gridSpan w:val="2"/>
            <w:tcBorders>
              <w:top w:val="single" w:color="auto" w:sz="4" w:space="0"/>
              <w:left w:val="single" w:color="auto" w:sz="4" w:space="0"/>
              <w:bottom w:val="single" w:color="auto" w:sz="4" w:space="0"/>
              <w:right w:val="single" w:color="auto" w:sz="4" w:space="0"/>
            </w:tcBorders>
            <w:shd w:val="clear" w:color="auto" w:fill="D7D7D7"/>
            <w:noWrap w:val="0"/>
            <w:vAlign w:val="center"/>
          </w:tcPr>
          <w:p>
            <w:pPr>
              <w:snapToGrid w:val="0"/>
              <w:spacing w:line="240" w:lineRule="auto"/>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母公司</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blHeader/>
        </w:trPr>
        <w:tc>
          <w:tcPr>
            <w:tcW w:w="2138" w:type="dxa"/>
            <w:vMerge w:val="continue"/>
            <w:tcBorders>
              <w:top w:val="single" w:color="auto" w:sz="4" w:space="0"/>
              <w:left w:val="single" w:color="auto" w:sz="4" w:space="0"/>
              <w:bottom w:val="single" w:color="auto" w:sz="4" w:space="0"/>
              <w:right w:val="single" w:color="auto" w:sz="4" w:space="0"/>
            </w:tcBorders>
            <w:shd w:val="clear" w:color="auto" w:fill="D7D7D7"/>
            <w:noWrap w:val="0"/>
            <w:vAlign w:val="center"/>
          </w:tcPr>
          <w:p>
            <w:pPr>
              <w:snapToGrid w:val="0"/>
              <w:spacing w:line="240" w:lineRule="auto"/>
              <w:jc w:val="center"/>
              <w:rPr>
                <w:rFonts w:ascii="Times New Roman" w:hAnsi="Times New Roman" w:eastAsia="宋体" w:cs="Times New Roman"/>
                <w:color w:val="000000"/>
                <w:sz w:val="18"/>
                <w:szCs w:val="18"/>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D7D7D7"/>
            <w:noWrap w:val="0"/>
            <w:vAlign w:val="center"/>
          </w:tcPr>
          <w:p>
            <w:pPr>
              <w:snapToGrid w:val="0"/>
              <w:spacing w:line="240" w:lineRule="auto"/>
              <w:jc w:val="center"/>
              <w:rPr>
                <w:rFonts w:ascii="Times New Roman" w:hAnsi="Times New Roman" w:eastAsia="宋体" w:cs="Times New Roman"/>
                <w:color w:val="000000"/>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snapToGrid w:val="0"/>
              <w:spacing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202</w:t>
            </w:r>
            <w:bookmarkStart w:id="0" w:name="OLE_LINK47"/>
            <w:r>
              <w:rPr>
                <w:rFonts w:ascii="Times New Roman" w:hAnsi="Times New Roman" w:eastAsia="宋体" w:cs="Times New Roman"/>
                <w:color w:val="000000"/>
                <w:sz w:val="18"/>
                <w:szCs w:val="18"/>
              </w:rPr>
              <w:t>3.12.3</w:t>
            </w:r>
            <w:bookmarkEnd w:id="0"/>
            <w:r>
              <w:rPr>
                <w:rFonts w:ascii="Times New Roman" w:hAnsi="Times New Roman" w:eastAsia="宋体" w:cs="Times New Roman"/>
                <w:color w:val="000000"/>
                <w:sz w:val="18"/>
                <w:szCs w:val="18"/>
              </w:rPr>
              <w:t>1</w:t>
            </w:r>
          </w:p>
          <w:p>
            <w:pPr>
              <w:snapToGrid w:val="0"/>
              <w:spacing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/202</w:t>
            </w:r>
            <w:bookmarkStart w:id="1" w:name="OLE_LINK48"/>
            <w:r>
              <w:rPr>
                <w:rFonts w:ascii="Times New Roman" w:hAnsi="Times New Roman" w:eastAsia="宋体" w:cs="Times New Roman"/>
                <w:color w:val="000000"/>
                <w:sz w:val="18"/>
                <w:szCs w:val="18"/>
              </w:rPr>
              <w:t>3</w:t>
            </w:r>
            <w:r>
              <w:rPr>
                <w:rFonts w:hint="eastAsia" w:ascii="Times New Roman" w:hAnsi="Times New Roman" w:eastAsia="宋体" w:cs="Times New Roman"/>
                <w:color w:val="000000"/>
                <w:sz w:val="18"/>
                <w:szCs w:val="18"/>
              </w:rPr>
              <w:t>年</w:t>
            </w:r>
            <w:bookmarkEnd w:id="1"/>
            <w:r>
              <w:rPr>
                <w:rFonts w:hint="eastAsia" w:ascii="Times New Roman" w:hAnsi="Times New Roman" w:eastAsia="宋体" w:cs="Times New Roman"/>
                <w:color w:val="000000"/>
                <w:sz w:val="18"/>
                <w:szCs w:val="18"/>
              </w:rPr>
              <w:t>度</w:t>
            </w:r>
          </w:p>
        </w:tc>
        <w:tc>
          <w:tcPr>
            <w:tcW w:w="1276"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snapToGrid w:val="0"/>
              <w:spacing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2022.12.31</w:t>
            </w:r>
          </w:p>
          <w:p>
            <w:pPr>
              <w:snapToGrid w:val="0"/>
              <w:spacing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/2022</w:t>
            </w:r>
            <w:r>
              <w:rPr>
                <w:rFonts w:hint="eastAsia" w:ascii="Times New Roman" w:hAnsi="Times New Roman" w:eastAsia="宋体" w:cs="Times New Roman"/>
                <w:color w:val="000000"/>
                <w:sz w:val="18"/>
                <w:szCs w:val="18"/>
              </w:rPr>
              <w:t>年度</w:t>
            </w:r>
          </w:p>
        </w:tc>
        <w:tc>
          <w:tcPr>
            <w:tcW w:w="1134"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snapToGrid w:val="0"/>
              <w:spacing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202</w:t>
            </w:r>
            <w:r>
              <w:rPr>
                <w:rFonts w:ascii="Times New Roman" w:hAnsi="Times New Roman" w:eastAsia="宋体" w:cs="Times New Roman"/>
                <w:color w:val="000000"/>
                <w:kern w:val="0"/>
                <w:sz w:val="18"/>
                <w:szCs w:val="18"/>
              </w:rPr>
              <w:t>3.12.31</w:t>
            </w:r>
          </w:p>
          <w:p>
            <w:pPr>
              <w:snapToGrid w:val="0"/>
              <w:spacing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/2023</w:t>
            </w:r>
            <w:r>
              <w:rPr>
                <w:rFonts w:hint="eastAsia" w:ascii="Times New Roman" w:hAnsi="Times New Roman" w:eastAsia="宋体" w:cs="Times New Roman"/>
                <w:color w:val="000000"/>
                <w:sz w:val="18"/>
                <w:szCs w:val="18"/>
              </w:rPr>
              <w:t>年度</w:t>
            </w:r>
          </w:p>
        </w:tc>
        <w:tc>
          <w:tcPr>
            <w:tcW w:w="1014"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snapToGrid w:val="0"/>
              <w:spacing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2022.12.31</w:t>
            </w:r>
          </w:p>
          <w:p>
            <w:pPr>
              <w:snapToGrid w:val="0"/>
              <w:spacing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/2022</w:t>
            </w:r>
            <w:r>
              <w:rPr>
                <w:rFonts w:hint="eastAsia" w:ascii="Times New Roman" w:hAnsi="Times New Roman" w:eastAsia="宋体" w:cs="Times New Roman"/>
                <w:color w:val="000000"/>
                <w:sz w:val="18"/>
                <w:szCs w:val="18"/>
              </w:rPr>
              <w:t>年度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13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both"/>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财政部于2022年11月30日颁布了《关于印发&lt;企业会计准则解释第16号&gt;的通知》</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both"/>
              <w:rPr>
                <w:rFonts w:ascii="宋体" w:hAnsi="宋体" w:eastAsia="宋体" w:cs="Times New Roman"/>
                <w:color w:val="000000"/>
                <w:sz w:val="18"/>
                <w:szCs w:val="18"/>
              </w:rPr>
            </w:pPr>
            <w:r>
              <w:rPr>
                <w:rFonts w:hint="eastAsia" w:ascii="宋体" w:hAnsi="宋体" w:eastAsia="宋体" w:cs="Times New Roman"/>
                <w:color w:val="000000"/>
                <w:sz w:val="18"/>
                <w:szCs w:val="18"/>
              </w:rPr>
              <w:t>递延所得税资产</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right"/>
              <w:rPr>
                <w:rFonts w:ascii="Times New Roman" w:hAnsi="Times New Roman" w:eastAsia="宋体" w:cs="Times New Roman"/>
                <w:color w:val="000000"/>
                <w:sz w:val="18"/>
                <w:szCs w:val="18"/>
              </w:rPr>
            </w:pPr>
            <w:r>
              <w:rPr>
                <w:rFonts w:ascii="Times New Roman" w:hAnsi="Times New Roman" w:eastAsia="等线" w:cs="Times New Roman"/>
                <w:color w:val="000000"/>
                <w:sz w:val="18"/>
                <w:szCs w:val="18"/>
              </w:rPr>
              <w:t>1,656,397.82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right"/>
              <w:rPr>
                <w:rFonts w:ascii="Times New Roman" w:hAnsi="Times New Roman" w:eastAsia="宋体" w:cs="Times New Roman"/>
                <w:color w:val="000000"/>
                <w:sz w:val="18"/>
                <w:szCs w:val="18"/>
              </w:rPr>
            </w:pPr>
            <w:r>
              <w:rPr>
                <w:rFonts w:ascii="Times New Roman" w:hAnsi="Times New Roman" w:eastAsia="等线" w:cs="Times New Roman"/>
                <w:color w:val="000000"/>
                <w:sz w:val="18"/>
                <w:szCs w:val="18"/>
              </w:rPr>
              <w:t>1,102,275.82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right"/>
              <w:rPr>
                <w:rFonts w:ascii="Times New Roman" w:hAnsi="Times New Roman" w:eastAsia="宋体" w:cs="Times New Roman"/>
                <w:color w:val="000000"/>
                <w:sz w:val="18"/>
                <w:szCs w:val="18"/>
              </w:rPr>
            </w:pPr>
            <w:r>
              <w:rPr>
                <w:rFonts w:ascii="Times New Roman" w:hAnsi="Times New Roman" w:eastAsia="等线" w:cs="Times New Roman"/>
                <w:color w:val="000000"/>
                <w:sz w:val="18"/>
                <w:szCs w:val="18"/>
              </w:rPr>
              <w:t>　</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right"/>
              <w:rPr>
                <w:rFonts w:ascii="Times New Roman" w:hAnsi="Times New Roman" w:eastAsia="宋体" w:cs="Times New Roman"/>
                <w:color w:val="000000"/>
                <w:sz w:val="18"/>
                <w:szCs w:val="18"/>
              </w:rPr>
            </w:pPr>
            <w:r>
              <w:rPr>
                <w:rFonts w:ascii="Times New Roman" w:hAnsi="Times New Roman" w:eastAsia="等线" w:cs="Times New Roman"/>
                <w:color w:val="000000"/>
                <w:sz w:val="18"/>
                <w:szCs w:val="18"/>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138"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both"/>
              <w:rPr>
                <w:rFonts w:ascii="Times New Roman" w:hAnsi="Times New Roman" w:eastAsia="宋体" w:cs="Times New Roman"/>
                <w:color w:val="000000"/>
                <w:sz w:val="18"/>
                <w:szCs w:val="18"/>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both"/>
              <w:rPr>
                <w:rFonts w:ascii="宋体" w:hAnsi="宋体" w:eastAsia="宋体" w:cs="Times New Roman"/>
                <w:color w:val="000000"/>
                <w:sz w:val="18"/>
                <w:szCs w:val="18"/>
              </w:rPr>
            </w:pPr>
            <w:r>
              <w:rPr>
                <w:rFonts w:hint="eastAsia" w:ascii="宋体" w:hAnsi="宋体" w:eastAsia="宋体" w:cs="Times New Roman"/>
                <w:color w:val="000000"/>
                <w:sz w:val="18"/>
                <w:szCs w:val="18"/>
              </w:rPr>
              <w:t>递延所得税负债</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right"/>
              <w:rPr>
                <w:rFonts w:ascii="Times New Roman" w:hAnsi="Times New Roman" w:eastAsia="宋体" w:cs="Times New Roman"/>
                <w:color w:val="000000"/>
                <w:sz w:val="18"/>
                <w:szCs w:val="18"/>
              </w:rPr>
            </w:pPr>
            <w:r>
              <w:rPr>
                <w:rFonts w:ascii="Times New Roman" w:hAnsi="Times New Roman" w:eastAsia="等线" w:cs="Times New Roman"/>
                <w:color w:val="000000"/>
                <w:sz w:val="18"/>
                <w:szCs w:val="18"/>
              </w:rPr>
              <w:t>-509,078.70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right"/>
              <w:rPr>
                <w:rFonts w:ascii="Times New Roman" w:hAnsi="Times New Roman" w:eastAsia="宋体" w:cs="Times New Roman"/>
                <w:color w:val="000000"/>
                <w:sz w:val="18"/>
                <w:szCs w:val="18"/>
              </w:rPr>
            </w:pPr>
            <w:r>
              <w:rPr>
                <w:rFonts w:ascii="Times New Roman" w:hAnsi="Times New Roman" w:eastAsia="等线" w:cs="Times New Roman"/>
                <w:color w:val="000000"/>
                <w:sz w:val="18"/>
                <w:szCs w:val="18"/>
              </w:rPr>
              <w:t>-737,168.20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right"/>
              <w:rPr>
                <w:rFonts w:ascii="Times New Roman" w:hAnsi="Times New Roman" w:eastAsia="宋体" w:cs="Times New Roman"/>
                <w:color w:val="000000"/>
                <w:sz w:val="18"/>
                <w:szCs w:val="18"/>
              </w:rPr>
            </w:pPr>
            <w:r>
              <w:rPr>
                <w:rFonts w:ascii="Times New Roman" w:hAnsi="Times New Roman" w:eastAsia="等线" w:cs="Times New Roman"/>
                <w:color w:val="000000"/>
                <w:sz w:val="18"/>
                <w:szCs w:val="18"/>
              </w:rPr>
              <w:t>-64,109.54</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right"/>
              <w:rPr>
                <w:rFonts w:ascii="Times New Roman" w:hAnsi="Times New Roman" w:eastAsia="宋体" w:cs="Times New Roman"/>
                <w:color w:val="000000"/>
                <w:sz w:val="18"/>
                <w:szCs w:val="18"/>
              </w:rPr>
            </w:pPr>
            <w:r>
              <w:rPr>
                <w:rFonts w:ascii="Times New Roman" w:hAnsi="Times New Roman" w:eastAsia="等线" w:cs="Times New Roman"/>
                <w:color w:val="000000"/>
                <w:sz w:val="18"/>
                <w:szCs w:val="18"/>
              </w:rPr>
              <w:t>-57,534.56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138"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both"/>
              <w:rPr>
                <w:rFonts w:ascii="Times New Roman" w:hAnsi="Times New Roman" w:eastAsia="宋体" w:cs="Times New Roman"/>
                <w:color w:val="000000"/>
                <w:sz w:val="18"/>
                <w:szCs w:val="18"/>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both"/>
              <w:rPr>
                <w:rFonts w:ascii="宋体" w:hAnsi="宋体" w:eastAsia="宋体" w:cs="Times New Roman"/>
                <w:color w:val="000000"/>
                <w:sz w:val="18"/>
                <w:szCs w:val="18"/>
              </w:rPr>
            </w:pPr>
            <w:r>
              <w:rPr>
                <w:rFonts w:hint="eastAsia" w:ascii="宋体" w:hAnsi="宋体" w:eastAsia="宋体" w:cs="Times New Roman"/>
                <w:color w:val="000000"/>
                <w:sz w:val="18"/>
                <w:szCs w:val="18"/>
              </w:rPr>
              <w:t>期初未分配利润</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right"/>
              <w:rPr>
                <w:rFonts w:ascii="Times New Roman" w:hAnsi="Times New Roman" w:eastAsia="宋体" w:cs="Times New Roman"/>
                <w:color w:val="000000"/>
                <w:sz w:val="18"/>
                <w:szCs w:val="18"/>
              </w:rPr>
            </w:pPr>
            <w:r>
              <w:rPr>
                <w:rFonts w:ascii="Times New Roman" w:hAnsi="Times New Roman" w:eastAsia="等线" w:cs="Times New Roman"/>
                <w:color w:val="000000"/>
                <w:sz w:val="18"/>
                <w:szCs w:val="18"/>
              </w:rPr>
              <w:t>-560,610.49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right"/>
              <w:rPr>
                <w:rFonts w:ascii="Times New Roman" w:hAnsi="Times New Roman" w:eastAsia="宋体" w:cs="Times New Roman"/>
                <w:color w:val="000000"/>
                <w:sz w:val="18"/>
                <w:szCs w:val="18"/>
              </w:rPr>
            </w:pPr>
            <w:r>
              <w:rPr>
                <w:rFonts w:ascii="Times New Roman" w:hAnsi="Times New Roman" w:eastAsia="等线" w:cs="Times New Roman"/>
                <w:color w:val="000000"/>
                <w:sz w:val="18"/>
                <w:szCs w:val="18"/>
              </w:rPr>
              <w:t>282,751.94</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right"/>
              <w:rPr>
                <w:rFonts w:ascii="Times New Roman" w:hAnsi="Times New Roman" w:eastAsia="宋体" w:cs="Times New Roman"/>
                <w:color w:val="000000"/>
                <w:sz w:val="18"/>
                <w:szCs w:val="18"/>
              </w:rPr>
            </w:pPr>
            <w:r>
              <w:rPr>
                <w:rFonts w:ascii="Times New Roman" w:hAnsi="Times New Roman" w:eastAsia="等线" w:cs="Times New Roman"/>
                <w:color w:val="000000"/>
                <w:sz w:val="18"/>
                <w:szCs w:val="18"/>
              </w:rPr>
              <w:t>57,534.56</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right"/>
              <w:rPr>
                <w:rFonts w:ascii="Times New Roman" w:hAnsi="Times New Roman" w:eastAsia="宋体" w:cs="Times New Roman"/>
                <w:color w:val="000000"/>
                <w:sz w:val="18"/>
                <w:szCs w:val="18"/>
              </w:rPr>
            </w:pPr>
            <w:r>
              <w:rPr>
                <w:rFonts w:ascii="Times New Roman" w:hAnsi="Times New Roman" w:eastAsia="等线" w:cs="Times New Roman"/>
                <w:color w:val="000000"/>
                <w:sz w:val="18"/>
                <w:szCs w:val="18"/>
              </w:rPr>
              <w:t>-21,848.73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138"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both"/>
              <w:rPr>
                <w:rFonts w:ascii="Times New Roman" w:hAnsi="Times New Roman" w:eastAsia="宋体" w:cs="Times New Roman"/>
                <w:color w:val="000000"/>
                <w:sz w:val="18"/>
                <w:szCs w:val="18"/>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both"/>
              <w:rPr>
                <w:rFonts w:ascii="宋体" w:hAnsi="宋体" w:eastAsia="宋体" w:cs="Times New Roman"/>
                <w:color w:val="000000"/>
                <w:sz w:val="18"/>
                <w:szCs w:val="18"/>
              </w:rPr>
            </w:pPr>
            <w:r>
              <w:rPr>
                <w:rFonts w:hint="eastAsia" w:ascii="宋体" w:hAnsi="宋体" w:eastAsia="宋体" w:cs="Times New Roman"/>
                <w:color w:val="000000"/>
                <w:sz w:val="18"/>
                <w:szCs w:val="18"/>
              </w:rPr>
              <w:t>所得税费用</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right"/>
              <w:rPr>
                <w:rFonts w:ascii="Times New Roman" w:hAnsi="Times New Roman" w:eastAsia="宋体" w:cs="Times New Roman"/>
                <w:color w:val="auto"/>
                <w:sz w:val="18"/>
                <w:szCs w:val="18"/>
              </w:rPr>
            </w:pPr>
            <w:r>
              <w:rPr>
                <w:rFonts w:ascii="Times New Roman" w:hAnsi="Times New Roman" w:eastAsia="等线" w:cs="Times New Roman"/>
                <w:color w:val="auto"/>
                <w:sz w:val="18"/>
                <w:szCs w:val="18"/>
              </w:rPr>
              <w:t>-586,708.63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right"/>
              <w:rPr>
                <w:rFonts w:ascii="Times New Roman" w:hAnsi="Times New Roman" w:eastAsia="宋体" w:cs="Times New Roman"/>
                <w:color w:val="auto"/>
                <w:sz w:val="18"/>
                <w:szCs w:val="18"/>
              </w:rPr>
            </w:pPr>
            <w:r>
              <w:rPr>
                <w:rFonts w:ascii="Times New Roman" w:hAnsi="Times New Roman" w:eastAsia="等线" w:cs="Times New Roman"/>
                <w:color w:val="auto"/>
                <w:sz w:val="18"/>
                <w:szCs w:val="18"/>
              </w:rPr>
              <w:t>-750,731.53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right"/>
              <w:rPr>
                <w:rFonts w:ascii="Times New Roman" w:hAnsi="Times New Roman" w:eastAsia="宋体" w:cs="Times New Roman"/>
                <w:color w:val="auto"/>
                <w:sz w:val="18"/>
                <w:szCs w:val="18"/>
              </w:rPr>
            </w:pPr>
            <w:r>
              <w:rPr>
                <w:rFonts w:ascii="Times New Roman" w:hAnsi="Times New Roman" w:eastAsia="等线" w:cs="Times New Roman"/>
                <w:color w:val="auto"/>
                <w:sz w:val="18"/>
                <w:szCs w:val="18"/>
              </w:rPr>
              <w:t>6,574.99</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right"/>
              <w:rPr>
                <w:rFonts w:ascii="Times New Roman" w:hAnsi="Times New Roman" w:eastAsia="宋体" w:cs="Times New Roman"/>
                <w:color w:val="auto"/>
                <w:sz w:val="18"/>
                <w:szCs w:val="18"/>
              </w:rPr>
            </w:pPr>
            <w:r>
              <w:rPr>
                <w:rFonts w:ascii="Times New Roman" w:hAnsi="Times New Roman" w:eastAsia="等线" w:cs="Times New Roman"/>
                <w:color w:val="auto"/>
                <w:sz w:val="18"/>
                <w:szCs w:val="18"/>
              </w:rPr>
              <w:t>79,383.29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138"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both"/>
              <w:rPr>
                <w:rFonts w:ascii="Times New Roman" w:hAnsi="Times New Roman" w:eastAsia="宋体" w:cs="Times New Roman"/>
                <w:color w:val="000000"/>
                <w:sz w:val="18"/>
                <w:szCs w:val="18"/>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both"/>
              <w:rPr>
                <w:rFonts w:ascii="宋体" w:hAnsi="宋体" w:eastAsia="宋体" w:cs="Times New Roman"/>
                <w:color w:val="000000"/>
                <w:sz w:val="18"/>
                <w:szCs w:val="18"/>
              </w:rPr>
            </w:pPr>
            <w:r>
              <w:rPr>
                <w:rFonts w:ascii="宋体" w:hAnsi="宋体" w:eastAsia="宋体" w:cs="Times New Roman"/>
                <w:color w:val="000000"/>
                <w:sz w:val="18"/>
                <w:szCs w:val="18"/>
              </w:rPr>
              <w:t>少数股东权益</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right"/>
              <w:rPr>
                <w:rFonts w:ascii="Times New Roman" w:hAnsi="Times New Roman" w:eastAsia="宋体" w:cs="Times New Roman"/>
                <w:color w:val="000000"/>
                <w:sz w:val="18"/>
                <w:szCs w:val="18"/>
              </w:rPr>
            </w:pPr>
            <w:r>
              <w:rPr>
                <w:rFonts w:ascii="Times New Roman" w:hAnsi="Times New Roman" w:eastAsia="等线" w:cs="Times New Roman"/>
                <w:color w:val="000000"/>
                <w:sz w:val="18"/>
                <w:szCs w:val="18"/>
              </w:rPr>
              <w:t>-55,823.88</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right"/>
              <w:rPr>
                <w:rFonts w:ascii="Times New Roman" w:hAnsi="Times New Roman" w:eastAsia="宋体" w:cs="Times New Roman"/>
                <w:color w:val="000000"/>
                <w:sz w:val="18"/>
                <w:szCs w:val="18"/>
              </w:rPr>
            </w:pPr>
            <w:r>
              <w:rPr>
                <w:rFonts w:ascii="Times New Roman" w:hAnsi="Times New Roman" w:eastAsia="等线" w:cs="Times New Roman"/>
                <w:color w:val="000000"/>
                <w:sz w:val="18"/>
                <w:szCs w:val="18"/>
              </w:rPr>
              <w:t>195,502.87</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right"/>
              <w:rPr>
                <w:rFonts w:ascii="Times New Roman" w:hAnsi="Times New Roman" w:eastAsia="宋体" w:cs="Times New Roman"/>
                <w:color w:val="000000"/>
                <w:sz w:val="18"/>
                <w:szCs w:val="18"/>
              </w:rPr>
            </w:pPr>
            <w:r>
              <w:rPr>
                <w:rFonts w:ascii="Times New Roman" w:hAnsi="Times New Roman" w:eastAsia="等线" w:cs="Times New Roman"/>
                <w:color w:val="000000"/>
                <w:sz w:val="18"/>
                <w:szCs w:val="18"/>
              </w:rPr>
              <w:t>　</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right"/>
              <w:rPr>
                <w:rFonts w:ascii="Times New Roman" w:hAnsi="Times New Roman" w:eastAsia="宋体" w:cs="Times New Roman"/>
                <w:color w:val="000000"/>
                <w:sz w:val="18"/>
                <w:szCs w:val="18"/>
              </w:rPr>
            </w:pPr>
            <w:r>
              <w:rPr>
                <w:rFonts w:ascii="Times New Roman" w:hAnsi="Times New Roman" w:eastAsia="等线" w:cs="Times New Roman"/>
                <w:color w:val="000000"/>
                <w:sz w:val="18"/>
                <w:szCs w:val="18"/>
              </w:rPr>
              <w: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138"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both"/>
              <w:rPr>
                <w:rFonts w:ascii="Times New Roman" w:hAnsi="Times New Roman" w:eastAsia="宋体" w:cs="Times New Roman"/>
                <w:b/>
                <w:color w:val="0000FF"/>
                <w:sz w:val="18"/>
                <w:szCs w:val="18"/>
                <w:u w:val="singl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both"/>
              <w:rPr>
                <w:rFonts w:ascii="宋体" w:hAnsi="宋体" w:eastAsia="宋体" w:cs="Times New Roman"/>
                <w:b/>
                <w:color w:val="0000FF"/>
                <w:sz w:val="18"/>
                <w:szCs w:val="18"/>
                <w:u w:val="single"/>
              </w:rPr>
            </w:pPr>
            <w:r>
              <w:rPr>
                <w:rFonts w:ascii="宋体" w:hAnsi="宋体" w:eastAsia="宋体" w:cs="Times New Roman"/>
                <w:color w:val="000000"/>
                <w:sz w:val="18"/>
                <w:szCs w:val="18"/>
              </w:rPr>
              <w:t>少数股东损益</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right"/>
              <w:rPr>
                <w:rFonts w:ascii="Times New Roman" w:hAnsi="Times New Roman" w:eastAsia="宋体" w:cs="Times New Roman"/>
                <w:b/>
                <w:color w:val="0000FF"/>
                <w:sz w:val="18"/>
                <w:szCs w:val="18"/>
                <w:u w:val="single"/>
              </w:rPr>
            </w:pPr>
            <w:r>
              <w:rPr>
                <w:rFonts w:ascii="Times New Roman" w:hAnsi="Times New Roman" w:eastAsia="等线" w:cs="Times New Roman"/>
                <w:color w:val="000000"/>
                <w:sz w:val="18"/>
                <w:szCs w:val="18"/>
              </w:rPr>
              <w:t>55,823.88</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right"/>
              <w:rPr>
                <w:rFonts w:ascii="Times New Roman" w:hAnsi="Times New Roman" w:eastAsia="宋体" w:cs="Times New Roman"/>
                <w:b/>
                <w:color w:val="0000FF"/>
                <w:sz w:val="18"/>
                <w:szCs w:val="18"/>
                <w:u w:val="single"/>
              </w:rPr>
            </w:pPr>
            <w:r>
              <w:rPr>
                <w:rFonts w:ascii="Times New Roman" w:hAnsi="Times New Roman" w:eastAsia="等线" w:cs="Times New Roman"/>
                <w:color w:val="000000"/>
                <w:sz w:val="18"/>
                <w:szCs w:val="18"/>
              </w:rPr>
              <w:t>-92,630.90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right"/>
              <w:rPr>
                <w:rFonts w:ascii="Times New Roman" w:hAnsi="Times New Roman" w:eastAsia="宋体" w:cs="Times New Roman"/>
                <w:b/>
                <w:color w:val="0000FF"/>
                <w:sz w:val="18"/>
                <w:szCs w:val="18"/>
                <w:u w:val="single"/>
              </w:rPr>
            </w:pPr>
            <w:r>
              <w:rPr>
                <w:rFonts w:ascii="Times New Roman" w:hAnsi="Times New Roman" w:eastAsia="等线" w:cs="Times New Roman"/>
                <w:color w:val="000000"/>
                <w:sz w:val="18"/>
                <w:szCs w:val="18"/>
              </w:rPr>
              <w:t>　</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right"/>
              <w:rPr>
                <w:rFonts w:ascii="Times New Roman" w:hAnsi="Times New Roman" w:eastAsia="宋体" w:cs="Times New Roman"/>
                <w:b/>
                <w:color w:val="0000FF"/>
                <w:sz w:val="18"/>
                <w:szCs w:val="18"/>
                <w:u w:val="single"/>
              </w:rPr>
            </w:pPr>
            <w:r>
              <w:rPr>
                <w:rFonts w:ascii="Times New Roman" w:hAnsi="Times New Roman" w:eastAsia="等线" w:cs="Times New Roman"/>
                <w:color w:val="000000"/>
                <w:sz w:val="18"/>
                <w:szCs w:val="18"/>
              </w:rPr>
              <w:t>　</w:t>
            </w:r>
          </w:p>
        </w:tc>
      </w:tr>
    </w:tbl>
    <w:p>
      <w:pPr>
        <w:widowControl w:val="0"/>
        <w:numPr>
          <w:ilvl w:val="0"/>
          <w:numId w:val="0"/>
        </w:numPr>
        <w:adjustRightInd w:val="0"/>
        <w:snapToGrid w:val="0"/>
        <w:spacing w:line="360" w:lineRule="auto"/>
        <w:ind w:firstLine="482" w:firstLineChars="200"/>
        <w:jc w:val="both"/>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四、董事会和审计委员会意见</w:t>
      </w:r>
    </w:p>
    <w:p>
      <w:pPr>
        <w:numPr>
          <w:ilvl w:val="0"/>
          <w:numId w:val="0"/>
        </w:numPr>
        <w:adjustRightInd w:val="0"/>
        <w:snapToGrid w:val="0"/>
        <w:spacing w:line="360" w:lineRule="auto"/>
        <w:ind w:firstLine="480" w:firstLineChars="200"/>
        <w:rPr>
          <w:rFonts w:hint="default"/>
          <w:lang w:val="en-US" w:eastAsia="zh-CN"/>
        </w:rPr>
      </w:pPr>
      <w:r>
        <w:rPr>
          <w:rFonts w:hint="default" w:ascii="Times New Roman" w:hAnsi="Times New Roman" w:eastAsia="宋体" w:cs="Times New Roman"/>
          <w:sz w:val="24"/>
          <w:szCs w:val="24"/>
          <w:lang w:val="en-US" w:eastAsia="zh-CN"/>
        </w:rPr>
        <w:t>本次公司会计政策的变更，符合国家企业会计准则有关规定，符合公司的实际情况，其决策程序符合有关法律、法规及《公司章程》的规定，能够客观、公允地反映公司财务状况和经营成果，不会损害公司和全体股东的利益，同意公司本次会计政策变更。</w:t>
      </w:r>
    </w:p>
    <w:p>
      <w:pPr>
        <w:widowControl w:val="0"/>
        <w:numPr>
          <w:ilvl w:val="0"/>
          <w:numId w:val="0"/>
        </w:numPr>
        <w:adjustRightInd w:val="0"/>
        <w:snapToGrid w:val="0"/>
        <w:spacing w:line="360" w:lineRule="auto"/>
        <w:ind w:firstLine="482" w:firstLineChars="200"/>
        <w:jc w:val="both"/>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五、监事会意见</w:t>
      </w:r>
    </w:p>
    <w:p>
      <w:pPr>
        <w:widowControl w:val="0"/>
        <w:numPr>
          <w:ilvl w:val="0"/>
          <w:numId w:val="0"/>
        </w:numPr>
        <w:adjustRightInd w:val="0"/>
        <w:snapToGrid w:val="0"/>
        <w:spacing w:line="360" w:lineRule="auto"/>
        <w:ind w:firstLine="480" w:firstLineChars="200"/>
        <w:jc w:val="both"/>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本次会计政策变更符合相关规定和公司实际情况，其决策程序符合相关法律、行政法规和公司章程有关规定，不存在损害公司及中小股东利益的情况，同意公司本次会计政策变更。</w:t>
      </w:r>
    </w:p>
    <w:p>
      <w:pPr>
        <w:adjustRightInd w:val="0"/>
        <w:snapToGrid w:val="0"/>
        <w:spacing w:before="93" w:beforeLines="30" w:after="93" w:afterLines="30" w:line="360" w:lineRule="auto"/>
        <w:ind w:firstLine="482" w:firstLineChars="200"/>
        <w:outlineLvl w:val="1"/>
        <w:rPr>
          <w:b/>
          <w:sz w:val="24"/>
          <w:szCs w:val="24"/>
        </w:rPr>
      </w:pPr>
      <w:r>
        <w:rPr>
          <w:rFonts w:hint="eastAsia"/>
          <w:b/>
          <w:sz w:val="24"/>
          <w:szCs w:val="24"/>
          <w:lang w:val="en-US" w:eastAsia="zh-CN"/>
        </w:rPr>
        <w:t>六</w:t>
      </w:r>
      <w:r>
        <w:rPr>
          <w:b/>
          <w:sz w:val="24"/>
          <w:szCs w:val="24"/>
        </w:rPr>
        <w:t>、备查文件</w:t>
      </w:r>
    </w:p>
    <w:p>
      <w:pPr>
        <w:pStyle w:val="5"/>
        <w:snapToGrid w:val="0"/>
        <w:spacing w:line="360" w:lineRule="auto"/>
        <w:ind w:firstLine="480" w:firstLineChars="200"/>
        <w:rPr>
          <w:rFonts w:hint="eastAsia" w:ascii="Times New Roman" w:hAnsi="Times New Roman"/>
          <w:sz w:val="24"/>
          <w:szCs w:val="24"/>
          <w:lang w:eastAsia="zh-CN"/>
        </w:rPr>
      </w:pPr>
      <w:r>
        <w:rPr>
          <w:rFonts w:ascii="Times New Roman" w:hAnsi="Times New Roman" w:cs="宋体"/>
          <w:sz w:val="24"/>
          <w:szCs w:val="24"/>
        </w:rPr>
        <w:t>1、</w:t>
      </w:r>
      <w:r>
        <w:rPr>
          <w:rFonts w:hint="eastAsia" w:ascii="Times New Roman" w:hAnsi="Times New Roman"/>
          <w:sz w:val="24"/>
          <w:szCs w:val="24"/>
        </w:rPr>
        <w:t>第</w:t>
      </w:r>
      <w:r>
        <w:rPr>
          <w:rFonts w:hint="eastAsia" w:ascii="Times New Roman" w:hAnsi="Times New Roman"/>
          <w:sz w:val="24"/>
          <w:szCs w:val="24"/>
          <w:lang w:val="en-US" w:eastAsia="zh-CN"/>
        </w:rPr>
        <w:t>十</w:t>
      </w:r>
      <w:r>
        <w:rPr>
          <w:rFonts w:hint="eastAsia" w:ascii="Times New Roman" w:hAnsi="Times New Roman"/>
          <w:sz w:val="24"/>
          <w:szCs w:val="24"/>
        </w:rPr>
        <w:t>届董事会第</w:t>
      </w:r>
      <w:r>
        <w:rPr>
          <w:rFonts w:hint="eastAsia" w:ascii="Times New Roman" w:hAnsi="Times New Roman"/>
          <w:sz w:val="24"/>
          <w:szCs w:val="24"/>
          <w:lang w:val="en-US" w:eastAsia="zh-CN"/>
        </w:rPr>
        <w:t>十五</w:t>
      </w:r>
      <w:r>
        <w:rPr>
          <w:rFonts w:hint="eastAsia" w:ascii="Times New Roman" w:hAnsi="Times New Roman"/>
          <w:sz w:val="24"/>
          <w:szCs w:val="24"/>
        </w:rPr>
        <w:t>次会议决议</w:t>
      </w:r>
      <w:r>
        <w:rPr>
          <w:rFonts w:hint="eastAsia" w:ascii="Times New Roman" w:hAnsi="Times New Roman"/>
          <w:sz w:val="24"/>
          <w:szCs w:val="24"/>
          <w:lang w:eastAsia="zh-CN"/>
        </w:rPr>
        <w:t>；</w:t>
      </w:r>
    </w:p>
    <w:p>
      <w:pPr>
        <w:pStyle w:val="5"/>
        <w:snapToGrid w:val="0"/>
        <w:spacing w:line="360" w:lineRule="auto"/>
        <w:ind w:firstLine="480" w:firstLineChars="200"/>
        <w:rPr>
          <w:rFonts w:hint="default" w:ascii="Times New Roman" w:hAnsi="Times New Roman"/>
          <w:sz w:val="24"/>
          <w:szCs w:val="24"/>
          <w:lang w:val="en-US" w:eastAsia="zh-CN"/>
        </w:rPr>
      </w:pPr>
      <w:r>
        <w:rPr>
          <w:rFonts w:hint="eastAsia" w:ascii="Times New Roman" w:hAnsi="Times New Roman"/>
          <w:sz w:val="24"/>
          <w:szCs w:val="24"/>
          <w:lang w:val="en-US" w:eastAsia="zh-CN"/>
        </w:rPr>
        <w:t>2、第十届监事会第九次会议</w:t>
      </w:r>
      <w:r>
        <w:rPr>
          <w:rFonts w:hint="eastAsia" w:ascii="Times New Roman" w:hAnsi="Times New Roman"/>
          <w:sz w:val="24"/>
          <w:szCs w:val="24"/>
        </w:rPr>
        <w:t>决议</w:t>
      </w:r>
      <w:r>
        <w:rPr>
          <w:rFonts w:hint="eastAsia" w:ascii="Times New Roman" w:hAnsi="Times New Roman"/>
          <w:sz w:val="24"/>
          <w:szCs w:val="24"/>
          <w:lang w:val="en-US" w:eastAsia="zh-CN"/>
        </w:rPr>
        <w:t>。</w:t>
      </w:r>
    </w:p>
    <w:p>
      <w:pPr>
        <w:snapToGrid w:val="0"/>
        <w:spacing w:line="360" w:lineRule="auto"/>
        <w:ind w:firstLine="480" w:firstLineChars="200"/>
        <w:rPr>
          <w:sz w:val="24"/>
          <w:szCs w:val="24"/>
        </w:rPr>
      </w:pPr>
      <w:r>
        <w:rPr>
          <w:rFonts w:hint="eastAsia"/>
          <w:sz w:val="24"/>
          <w:szCs w:val="24"/>
        </w:rPr>
        <w:t>特此公告。</w:t>
      </w:r>
    </w:p>
    <w:p>
      <w:pPr>
        <w:snapToGrid w:val="0"/>
        <w:spacing w:line="360" w:lineRule="auto"/>
        <w:ind w:firstLine="480" w:firstLineChars="200"/>
        <w:rPr>
          <w:sz w:val="24"/>
          <w:szCs w:val="24"/>
        </w:rPr>
      </w:pPr>
    </w:p>
    <w:p>
      <w:pPr>
        <w:snapToGrid w:val="0"/>
        <w:spacing w:line="360" w:lineRule="auto"/>
        <w:ind w:firstLine="480" w:firstLineChars="200"/>
        <w:rPr>
          <w:sz w:val="24"/>
          <w:szCs w:val="24"/>
        </w:rPr>
      </w:pPr>
    </w:p>
    <w:p>
      <w:pPr>
        <w:snapToGrid w:val="0"/>
        <w:spacing w:line="360" w:lineRule="auto"/>
        <w:ind w:firstLine="480" w:firstLineChars="200"/>
        <w:rPr>
          <w:rFonts w:hint="eastAsia"/>
          <w:sz w:val="24"/>
          <w:szCs w:val="24"/>
        </w:rPr>
      </w:pPr>
    </w:p>
    <w:p>
      <w:pPr>
        <w:snapToGrid w:val="0"/>
        <w:spacing w:line="360" w:lineRule="auto"/>
        <w:ind w:firstLine="482" w:firstLineChars="200"/>
        <w:jc w:val="right"/>
        <w:rPr>
          <w:rFonts w:hint="eastAsia"/>
          <w:b/>
          <w:sz w:val="24"/>
          <w:szCs w:val="24"/>
        </w:rPr>
      </w:pPr>
      <w:r>
        <w:rPr>
          <w:rFonts w:hint="eastAsia"/>
          <w:b/>
          <w:sz w:val="24"/>
          <w:szCs w:val="24"/>
        </w:rPr>
        <w:t>中广核核技术发展股份有限公司</w:t>
      </w:r>
    </w:p>
    <w:p>
      <w:pPr>
        <w:snapToGrid w:val="0"/>
        <w:spacing w:line="360" w:lineRule="auto"/>
        <w:ind w:firstLine="482" w:firstLineChars="200"/>
        <w:jc w:val="right"/>
        <w:rPr>
          <w:rFonts w:hint="eastAsia"/>
          <w:b/>
          <w:sz w:val="24"/>
          <w:szCs w:val="24"/>
        </w:rPr>
      </w:pPr>
      <w:r>
        <w:rPr>
          <w:rFonts w:hint="eastAsia"/>
          <w:b/>
          <w:sz w:val="24"/>
          <w:szCs w:val="24"/>
        </w:rPr>
        <w:t>董事会</w:t>
      </w:r>
    </w:p>
    <w:p>
      <w:pPr>
        <w:snapToGrid w:val="0"/>
        <w:spacing w:line="360" w:lineRule="auto"/>
        <w:ind w:firstLine="482" w:firstLineChars="200"/>
        <w:jc w:val="right"/>
        <w:rPr>
          <w:rFonts w:hint="eastAsia"/>
          <w:b/>
          <w:sz w:val="24"/>
          <w:szCs w:val="24"/>
        </w:rPr>
      </w:pPr>
      <w:r>
        <w:rPr>
          <w:rFonts w:hint="eastAsia"/>
          <w:b/>
          <w:sz w:val="24"/>
          <w:szCs w:val="24"/>
        </w:rPr>
        <w:t>202</w:t>
      </w:r>
      <w:r>
        <w:rPr>
          <w:rFonts w:hint="eastAsia"/>
          <w:b/>
          <w:sz w:val="24"/>
          <w:szCs w:val="24"/>
          <w:lang w:val="en-US" w:eastAsia="zh-CN"/>
        </w:rPr>
        <w:t>4</w:t>
      </w:r>
      <w:r>
        <w:rPr>
          <w:rFonts w:hint="eastAsia"/>
          <w:b/>
          <w:sz w:val="24"/>
          <w:szCs w:val="24"/>
        </w:rPr>
        <w:t>年</w:t>
      </w:r>
      <w:r>
        <w:rPr>
          <w:b/>
          <w:sz w:val="24"/>
          <w:szCs w:val="24"/>
        </w:rPr>
        <w:t>4</w:t>
      </w:r>
      <w:r>
        <w:rPr>
          <w:rFonts w:hint="eastAsia"/>
          <w:b/>
          <w:sz w:val="24"/>
          <w:szCs w:val="24"/>
        </w:rPr>
        <w:t>月</w:t>
      </w:r>
      <w:r>
        <w:rPr>
          <w:rFonts w:hint="eastAsia"/>
          <w:b/>
          <w:sz w:val="24"/>
          <w:szCs w:val="24"/>
          <w:lang w:val="en-US" w:eastAsia="zh-CN"/>
        </w:rPr>
        <w:t>2</w:t>
      </w:r>
      <w:r>
        <w:rPr>
          <w:rFonts w:hint="eastAsia"/>
          <w:b/>
          <w:sz w:val="24"/>
          <w:szCs w:val="24"/>
          <w:lang w:val="en-US" w:eastAsia="zh-CN"/>
        </w:rPr>
        <w:t>7</w:t>
      </w:r>
      <w:r>
        <w:rPr>
          <w:rFonts w:hint="eastAsia"/>
          <w:b/>
          <w:sz w:val="24"/>
          <w:szCs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32A7C4"/>
    <w:multiLevelType w:val="singleLevel"/>
    <w:tmpl w:val="D132A7C4"/>
    <w:lvl w:ilvl="0" w:tentative="0">
      <w:start w:val="2"/>
      <w:numFmt w:val="chineseCounting"/>
      <w:suff w:val="nothing"/>
      <w:lvlText w:val="%1、"/>
      <w:lvlJc w:val="left"/>
      <w:rPr>
        <w:rFonts w:hint="eastAsia"/>
      </w:rPr>
    </w:lvl>
  </w:abstractNum>
  <w:abstractNum w:abstractNumId="1">
    <w:nsid w:val="18CC0007"/>
    <w:multiLevelType w:val="singleLevel"/>
    <w:tmpl w:val="18CC0007"/>
    <w:lvl w:ilvl="0" w:tentative="0">
      <w:start w:val="6"/>
      <w:numFmt w:val="decimal"/>
      <w:pStyle w:val="24"/>
      <w:lvlText w:val="%1、"/>
      <w:legacy w:legacy="1" w:legacySpace="0" w:legacyIndent="465"/>
      <w:lvlJc w:val="left"/>
      <w:pPr>
        <w:ind w:left="1035" w:hanging="465"/>
      </w:pPr>
      <w:rPr>
        <w:rFonts w:hint="eastAsia" w:ascii="楷体_GB2312" w:eastAsia="楷体_GB2312"/>
        <w:b w:val="0"/>
        <w:i w:val="0"/>
        <w:sz w:val="28"/>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E69"/>
    <w:rsid w:val="0000164C"/>
    <w:rsid w:val="000018E4"/>
    <w:rsid w:val="00001B05"/>
    <w:rsid w:val="00001F37"/>
    <w:rsid w:val="00001F70"/>
    <w:rsid w:val="00003433"/>
    <w:rsid w:val="00003E4A"/>
    <w:rsid w:val="0000729F"/>
    <w:rsid w:val="00013BAD"/>
    <w:rsid w:val="00013DE7"/>
    <w:rsid w:val="0001484C"/>
    <w:rsid w:val="000222C4"/>
    <w:rsid w:val="00024767"/>
    <w:rsid w:val="000252E3"/>
    <w:rsid w:val="00027656"/>
    <w:rsid w:val="000315F7"/>
    <w:rsid w:val="000315FC"/>
    <w:rsid w:val="00032084"/>
    <w:rsid w:val="00032741"/>
    <w:rsid w:val="00032B8A"/>
    <w:rsid w:val="00032F28"/>
    <w:rsid w:val="00036236"/>
    <w:rsid w:val="000364D6"/>
    <w:rsid w:val="000405F2"/>
    <w:rsid w:val="00040745"/>
    <w:rsid w:val="00040E2A"/>
    <w:rsid w:val="000419AF"/>
    <w:rsid w:val="00045B28"/>
    <w:rsid w:val="00045FDE"/>
    <w:rsid w:val="000512F0"/>
    <w:rsid w:val="0005324B"/>
    <w:rsid w:val="000534B7"/>
    <w:rsid w:val="0005380D"/>
    <w:rsid w:val="00054673"/>
    <w:rsid w:val="00054DFE"/>
    <w:rsid w:val="000554BB"/>
    <w:rsid w:val="00055679"/>
    <w:rsid w:val="000559A8"/>
    <w:rsid w:val="000568EC"/>
    <w:rsid w:val="0005724A"/>
    <w:rsid w:val="000572AD"/>
    <w:rsid w:val="000579AD"/>
    <w:rsid w:val="0006161E"/>
    <w:rsid w:val="00062129"/>
    <w:rsid w:val="00062E11"/>
    <w:rsid w:val="00063A9B"/>
    <w:rsid w:val="00063F7F"/>
    <w:rsid w:val="000645B1"/>
    <w:rsid w:val="00064887"/>
    <w:rsid w:val="0006546C"/>
    <w:rsid w:val="000702CA"/>
    <w:rsid w:val="00080557"/>
    <w:rsid w:val="00081090"/>
    <w:rsid w:val="00081A66"/>
    <w:rsid w:val="000822BE"/>
    <w:rsid w:val="000828BD"/>
    <w:rsid w:val="00082936"/>
    <w:rsid w:val="00086615"/>
    <w:rsid w:val="000868C9"/>
    <w:rsid w:val="00086B9F"/>
    <w:rsid w:val="00090342"/>
    <w:rsid w:val="00090E1F"/>
    <w:rsid w:val="00093C0D"/>
    <w:rsid w:val="00094B7A"/>
    <w:rsid w:val="000A02FE"/>
    <w:rsid w:val="000A1CDB"/>
    <w:rsid w:val="000A3064"/>
    <w:rsid w:val="000A68BD"/>
    <w:rsid w:val="000A6E4E"/>
    <w:rsid w:val="000B0888"/>
    <w:rsid w:val="000B22DD"/>
    <w:rsid w:val="000B2999"/>
    <w:rsid w:val="000B3357"/>
    <w:rsid w:val="000B3495"/>
    <w:rsid w:val="000C0E38"/>
    <w:rsid w:val="000C0FE7"/>
    <w:rsid w:val="000C1A9F"/>
    <w:rsid w:val="000C398E"/>
    <w:rsid w:val="000C50D1"/>
    <w:rsid w:val="000C54C3"/>
    <w:rsid w:val="000C5E04"/>
    <w:rsid w:val="000C71E5"/>
    <w:rsid w:val="000D1032"/>
    <w:rsid w:val="000D2D28"/>
    <w:rsid w:val="000D3D05"/>
    <w:rsid w:val="000D6F96"/>
    <w:rsid w:val="000D7118"/>
    <w:rsid w:val="000E03B2"/>
    <w:rsid w:val="000E287C"/>
    <w:rsid w:val="000E2947"/>
    <w:rsid w:val="000E4970"/>
    <w:rsid w:val="000E4DC9"/>
    <w:rsid w:val="000E4FF5"/>
    <w:rsid w:val="000E5A9B"/>
    <w:rsid w:val="000E6CD7"/>
    <w:rsid w:val="000F0B77"/>
    <w:rsid w:val="000F0F6D"/>
    <w:rsid w:val="000F26C4"/>
    <w:rsid w:val="000F33E2"/>
    <w:rsid w:val="000F3D49"/>
    <w:rsid w:val="000F3FEE"/>
    <w:rsid w:val="000F4132"/>
    <w:rsid w:val="000F55F2"/>
    <w:rsid w:val="000F69B3"/>
    <w:rsid w:val="000F6D10"/>
    <w:rsid w:val="000F7775"/>
    <w:rsid w:val="001008A5"/>
    <w:rsid w:val="00101550"/>
    <w:rsid w:val="0010313F"/>
    <w:rsid w:val="00106F91"/>
    <w:rsid w:val="001073F5"/>
    <w:rsid w:val="001077F4"/>
    <w:rsid w:val="00110C5B"/>
    <w:rsid w:val="0011228F"/>
    <w:rsid w:val="001132CB"/>
    <w:rsid w:val="00113D3C"/>
    <w:rsid w:val="00115D9F"/>
    <w:rsid w:val="00120AE3"/>
    <w:rsid w:val="00121480"/>
    <w:rsid w:val="00122502"/>
    <w:rsid w:val="00122815"/>
    <w:rsid w:val="00122928"/>
    <w:rsid w:val="00123294"/>
    <w:rsid w:val="00123D1A"/>
    <w:rsid w:val="001251EB"/>
    <w:rsid w:val="00127293"/>
    <w:rsid w:val="00127F6A"/>
    <w:rsid w:val="0013019C"/>
    <w:rsid w:val="00130517"/>
    <w:rsid w:val="00130682"/>
    <w:rsid w:val="001318C3"/>
    <w:rsid w:val="00132C15"/>
    <w:rsid w:val="001330A5"/>
    <w:rsid w:val="00134E54"/>
    <w:rsid w:val="00135267"/>
    <w:rsid w:val="0013696E"/>
    <w:rsid w:val="00136AC4"/>
    <w:rsid w:val="00140B6F"/>
    <w:rsid w:val="00141CE9"/>
    <w:rsid w:val="00142DF0"/>
    <w:rsid w:val="00143646"/>
    <w:rsid w:val="00146CA8"/>
    <w:rsid w:val="00147390"/>
    <w:rsid w:val="00147D93"/>
    <w:rsid w:val="00150D93"/>
    <w:rsid w:val="00152F22"/>
    <w:rsid w:val="00155356"/>
    <w:rsid w:val="001612EC"/>
    <w:rsid w:val="00161686"/>
    <w:rsid w:val="001619BE"/>
    <w:rsid w:val="00162432"/>
    <w:rsid w:val="00164469"/>
    <w:rsid w:val="001672F9"/>
    <w:rsid w:val="001711B8"/>
    <w:rsid w:val="00171F37"/>
    <w:rsid w:val="00171F89"/>
    <w:rsid w:val="001735A0"/>
    <w:rsid w:val="00173CEF"/>
    <w:rsid w:val="00174E35"/>
    <w:rsid w:val="00175408"/>
    <w:rsid w:val="001758B5"/>
    <w:rsid w:val="00175CBF"/>
    <w:rsid w:val="001779E1"/>
    <w:rsid w:val="0018038D"/>
    <w:rsid w:val="00180636"/>
    <w:rsid w:val="00182210"/>
    <w:rsid w:val="00182A5F"/>
    <w:rsid w:val="0018364A"/>
    <w:rsid w:val="00184563"/>
    <w:rsid w:val="001851C6"/>
    <w:rsid w:val="00186CD1"/>
    <w:rsid w:val="001905C9"/>
    <w:rsid w:val="00190AA3"/>
    <w:rsid w:val="0019389A"/>
    <w:rsid w:val="00193EE4"/>
    <w:rsid w:val="0019426B"/>
    <w:rsid w:val="001943AE"/>
    <w:rsid w:val="00196DD8"/>
    <w:rsid w:val="001A077E"/>
    <w:rsid w:val="001A0C62"/>
    <w:rsid w:val="001A1609"/>
    <w:rsid w:val="001A198A"/>
    <w:rsid w:val="001A26DE"/>
    <w:rsid w:val="001A27C9"/>
    <w:rsid w:val="001A3E5F"/>
    <w:rsid w:val="001A4D67"/>
    <w:rsid w:val="001A6CF4"/>
    <w:rsid w:val="001A6DBB"/>
    <w:rsid w:val="001A726D"/>
    <w:rsid w:val="001A75E0"/>
    <w:rsid w:val="001B1368"/>
    <w:rsid w:val="001B26FF"/>
    <w:rsid w:val="001B46CC"/>
    <w:rsid w:val="001B71DD"/>
    <w:rsid w:val="001C1F46"/>
    <w:rsid w:val="001C3BDD"/>
    <w:rsid w:val="001C55C8"/>
    <w:rsid w:val="001C7808"/>
    <w:rsid w:val="001D1554"/>
    <w:rsid w:val="001D1FD2"/>
    <w:rsid w:val="001D27C2"/>
    <w:rsid w:val="001D4F4C"/>
    <w:rsid w:val="001D7325"/>
    <w:rsid w:val="001E504C"/>
    <w:rsid w:val="001E5811"/>
    <w:rsid w:val="001E5A48"/>
    <w:rsid w:val="001F1297"/>
    <w:rsid w:val="001F5845"/>
    <w:rsid w:val="001F6AA1"/>
    <w:rsid w:val="001F7A38"/>
    <w:rsid w:val="00200618"/>
    <w:rsid w:val="00203CC6"/>
    <w:rsid w:val="002042D4"/>
    <w:rsid w:val="002046EF"/>
    <w:rsid w:val="00205CA7"/>
    <w:rsid w:val="0020798C"/>
    <w:rsid w:val="00210ACC"/>
    <w:rsid w:val="0021237C"/>
    <w:rsid w:val="00213050"/>
    <w:rsid w:val="00214B89"/>
    <w:rsid w:val="00215345"/>
    <w:rsid w:val="0021591A"/>
    <w:rsid w:val="00217950"/>
    <w:rsid w:val="00221786"/>
    <w:rsid w:val="002219F2"/>
    <w:rsid w:val="00223FEE"/>
    <w:rsid w:val="00225612"/>
    <w:rsid w:val="00227D09"/>
    <w:rsid w:val="00231432"/>
    <w:rsid w:val="00232CED"/>
    <w:rsid w:val="00241B2A"/>
    <w:rsid w:val="00241C22"/>
    <w:rsid w:val="0024570C"/>
    <w:rsid w:val="0024605D"/>
    <w:rsid w:val="002462C7"/>
    <w:rsid w:val="0024794D"/>
    <w:rsid w:val="00247969"/>
    <w:rsid w:val="00253C07"/>
    <w:rsid w:val="00253EB5"/>
    <w:rsid w:val="002553AE"/>
    <w:rsid w:val="002572B1"/>
    <w:rsid w:val="0025767F"/>
    <w:rsid w:val="0026017F"/>
    <w:rsid w:val="00261D1D"/>
    <w:rsid w:val="0026213E"/>
    <w:rsid w:val="002654A6"/>
    <w:rsid w:val="00265BF8"/>
    <w:rsid w:val="00266E89"/>
    <w:rsid w:val="00267A6E"/>
    <w:rsid w:val="002710C2"/>
    <w:rsid w:val="002721D6"/>
    <w:rsid w:val="002733BF"/>
    <w:rsid w:val="00273AF5"/>
    <w:rsid w:val="00273E92"/>
    <w:rsid w:val="00273F0D"/>
    <w:rsid w:val="00274406"/>
    <w:rsid w:val="002815FE"/>
    <w:rsid w:val="002844B8"/>
    <w:rsid w:val="0028583F"/>
    <w:rsid w:val="00285ECD"/>
    <w:rsid w:val="00286AE0"/>
    <w:rsid w:val="00290A46"/>
    <w:rsid w:val="00291017"/>
    <w:rsid w:val="0029131D"/>
    <w:rsid w:val="00292622"/>
    <w:rsid w:val="00292860"/>
    <w:rsid w:val="00294C3D"/>
    <w:rsid w:val="00295EA0"/>
    <w:rsid w:val="00296EE8"/>
    <w:rsid w:val="002A15B6"/>
    <w:rsid w:val="002A43DA"/>
    <w:rsid w:val="002A4FCB"/>
    <w:rsid w:val="002A543E"/>
    <w:rsid w:val="002A5C87"/>
    <w:rsid w:val="002B03AF"/>
    <w:rsid w:val="002B22B3"/>
    <w:rsid w:val="002B35B2"/>
    <w:rsid w:val="002C4293"/>
    <w:rsid w:val="002D0FED"/>
    <w:rsid w:val="002D1824"/>
    <w:rsid w:val="002D21A8"/>
    <w:rsid w:val="002D4AB5"/>
    <w:rsid w:val="002D746D"/>
    <w:rsid w:val="002D7DFE"/>
    <w:rsid w:val="002E024D"/>
    <w:rsid w:val="002E03A2"/>
    <w:rsid w:val="002E3DE1"/>
    <w:rsid w:val="002E7E85"/>
    <w:rsid w:val="002E7F16"/>
    <w:rsid w:val="002F0134"/>
    <w:rsid w:val="002F15EF"/>
    <w:rsid w:val="002F6A0E"/>
    <w:rsid w:val="0030260F"/>
    <w:rsid w:val="00302905"/>
    <w:rsid w:val="003035D6"/>
    <w:rsid w:val="003043E1"/>
    <w:rsid w:val="003062F8"/>
    <w:rsid w:val="003063A6"/>
    <w:rsid w:val="00310B85"/>
    <w:rsid w:val="00310EFD"/>
    <w:rsid w:val="0031131E"/>
    <w:rsid w:val="003125E1"/>
    <w:rsid w:val="003134E1"/>
    <w:rsid w:val="00315795"/>
    <w:rsid w:val="00317F0E"/>
    <w:rsid w:val="0032030F"/>
    <w:rsid w:val="003206F0"/>
    <w:rsid w:val="00320ACB"/>
    <w:rsid w:val="00321077"/>
    <w:rsid w:val="003214CA"/>
    <w:rsid w:val="0032419B"/>
    <w:rsid w:val="00326EE7"/>
    <w:rsid w:val="00327C50"/>
    <w:rsid w:val="003318C5"/>
    <w:rsid w:val="00331EDD"/>
    <w:rsid w:val="00332548"/>
    <w:rsid w:val="0033435E"/>
    <w:rsid w:val="00337925"/>
    <w:rsid w:val="00344860"/>
    <w:rsid w:val="00346C94"/>
    <w:rsid w:val="003505F5"/>
    <w:rsid w:val="0035069E"/>
    <w:rsid w:val="003514E4"/>
    <w:rsid w:val="00352FDF"/>
    <w:rsid w:val="003539D7"/>
    <w:rsid w:val="00354346"/>
    <w:rsid w:val="003546AA"/>
    <w:rsid w:val="00356450"/>
    <w:rsid w:val="00357CAD"/>
    <w:rsid w:val="00360E17"/>
    <w:rsid w:val="00362E93"/>
    <w:rsid w:val="00362EAB"/>
    <w:rsid w:val="003638CC"/>
    <w:rsid w:val="00364296"/>
    <w:rsid w:val="003646FE"/>
    <w:rsid w:val="0036792F"/>
    <w:rsid w:val="00367B9E"/>
    <w:rsid w:val="0037093D"/>
    <w:rsid w:val="00370C0B"/>
    <w:rsid w:val="003719EF"/>
    <w:rsid w:val="00373691"/>
    <w:rsid w:val="00373CFD"/>
    <w:rsid w:val="0037678A"/>
    <w:rsid w:val="00381162"/>
    <w:rsid w:val="0038358F"/>
    <w:rsid w:val="00386C81"/>
    <w:rsid w:val="003900E3"/>
    <w:rsid w:val="00392691"/>
    <w:rsid w:val="00392A36"/>
    <w:rsid w:val="0039362B"/>
    <w:rsid w:val="00395D6C"/>
    <w:rsid w:val="003A292F"/>
    <w:rsid w:val="003A2989"/>
    <w:rsid w:val="003A2A74"/>
    <w:rsid w:val="003A3403"/>
    <w:rsid w:val="003A4AB1"/>
    <w:rsid w:val="003A51A7"/>
    <w:rsid w:val="003A607C"/>
    <w:rsid w:val="003A7C90"/>
    <w:rsid w:val="003B2FBC"/>
    <w:rsid w:val="003B4BB5"/>
    <w:rsid w:val="003B546C"/>
    <w:rsid w:val="003C03F3"/>
    <w:rsid w:val="003C0743"/>
    <w:rsid w:val="003C0B6B"/>
    <w:rsid w:val="003C0CB3"/>
    <w:rsid w:val="003C2E06"/>
    <w:rsid w:val="003C5EA8"/>
    <w:rsid w:val="003C6F4E"/>
    <w:rsid w:val="003C6FE9"/>
    <w:rsid w:val="003D0362"/>
    <w:rsid w:val="003D1DEA"/>
    <w:rsid w:val="003D3D95"/>
    <w:rsid w:val="003D4F3C"/>
    <w:rsid w:val="003D60C8"/>
    <w:rsid w:val="003D6BA8"/>
    <w:rsid w:val="003D7F87"/>
    <w:rsid w:val="003E0DBA"/>
    <w:rsid w:val="003E5295"/>
    <w:rsid w:val="003E54CA"/>
    <w:rsid w:val="003E584F"/>
    <w:rsid w:val="003E635C"/>
    <w:rsid w:val="003E7FF5"/>
    <w:rsid w:val="003F0050"/>
    <w:rsid w:val="003F0402"/>
    <w:rsid w:val="003F07F0"/>
    <w:rsid w:val="003F27DF"/>
    <w:rsid w:val="003F2969"/>
    <w:rsid w:val="003F3D44"/>
    <w:rsid w:val="003F4A59"/>
    <w:rsid w:val="003F61E2"/>
    <w:rsid w:val="004004A6"/>
    <w:rsid w:val="0040098A"/>
    <w:rsid w:val="00400D97"/>
    <w:rsid w:val="00400EB2"/>
    <w:rsid w:val="004012BE"/>
    <w:rsid w:val="00402ED1"/>
    <w:rsid w:val="00403BC7"/>
    <w:rsid w:val="0040407C"/>
    <w:rsid w:val="004054C4"/>
    <w:rsid w:val="00405A64"/>
    <w:rsid w:val="0040741F"/>
    <w:rsid w:val="004100A0"/>
    <w:rsid w:val="00410D4C"/>
    <w:rsid w:val="004118A5"/>
    <w:rsid w:val="00412C83"/>
    <w:rsid w:val="00413596"/>
    <w:rsid w:val="00414DAF"/>
    <w:rsid w:val="00415A70"/>
    <w:rsid w:val="0041664F"/>
    <w:rsid w:val="00416DB9"/>
    <w:rsid w:val="00417251"/>
    <w:rsid w:val="0041747D"/>
    <w:rsid w:val="00420C33"/>
    <w:rsid w:val="00422294"/>
    <w:rsid w:val="004237A7"/>
    <w:rsid w:val="0042512F"/>
    <w:rsid w:val="004257D5"/>
    <w:rsid w:val="00425D5C"/>
    <w:rsid w:val="0043136C"/>
    <w:rsid w:val="00431A2F"/>
    <w:rsid w:val="004326D7"/>
    <w:rsid w:val="00433A97"/>
    <w:rsid w:val="004377D7"/>
    <w:rsid w:val="004403AB"/>
    <w:rsid w:val="00445859"/>
    <w:rsid w:val="00445D18"/>
    <w:rsid w:val="00447146"/>
    <w:rsid w:val="00451457"/>
    <w:rsid w:val="00453603"/>
    <w:rsid w:val="00456040"/>
    <w:rsid w:val="00457AF6"/>
    <w:rsid w:val="00457CA7"/>
    <w:rsid w:val="00460E7C"/>
    <w:rsid w:val="00460F8C"/>
    <w:rsid w:val="00461DEF"/>
    <w:rsid w:val="004624B3"/>
    <w:rsid w:val="00462862"/>
    <w:rsid w:val="0046429F"/>
    <w:rsid w:val="00465A3C"/>
    <w:rsid w:val="00465BF0"/>
    <w:rsid w:val="0047101A"/>
    <w:rsid w:val="00474C11"/>
    <w:rsid w:val="0047752E"/>
    <w:rsid w:val="00480602"/>
    <w:rsid w:val="00481AA6"/>
    <w:rsid w:val="00482967"/>
    <w:rsid w:val="00482B64"/>
    <w:rsid w:val="004833D2"/>
    <w:rsid w:val="0048507C"/>
    <w:rsid w:val="00486D35"/>
    <w:rsid w:val="00486E90"/>
    <w:rsid w:val="004908EC"/>
    <w:rsid w:val="0049198B"/>
    <w:rsid w:val="00493E25"/>
    <w:rsid w:val="00493EF0"/>
    <w:rsid w:val="00495998"/>
    <w:rsid w:val="00497F57"/>
    <w:rsid w:val="004A1ADC"/>
    <w:rsid w:val="004A2D8A"/>
    <w:rsid w:val="004A5A57"/>
    <w:rsid w:val="004B08A1"/>
    <w:rsid w:val="004B1E05"/>
    <w:rsid w:val="004B21C5"/>
    <w:rsid w:val="004B2AA2"/>
    <w:rsid w:val="004B3D7C"/>
    <w:rsid w:val="004B4988"/>
    <w:rsid w:val="004C2611"/>
    <w:rsid w:val="004D0DF8"/>
    <w:rsid w:val="004D0F2E"/>
    <w:rsid w:val="004D1890"/>
    <w:rsid w:val="004D24CE"/>
    <w:rsid w:val="004D4403"/>
    <w:rsid w:val="004D5C25"/>
    <w:rsid w:val="004D5EE0"/>
    <w:rsid w:val="004E0EB1"/>
    <w:rsid w:val="004E1014"/>
    <w:rsid w:val="004E1819"/>
    <w:rsid w:val="004E39CC"/>
    <w:rsid w:val="004E3A40"/>
    <w:rsid w:val="004E6620"/>
    <w:rsid w:val="004E6E44"/>
    <w:rsid w:val="004E7D49"/>
    <w:rsid w:val="004F21A4"/>
    <w:rsid w:val="004F2974"/>
    <w:rsid w:val="004F5478"/>
    <w:rsid w:val="004F6473"/>
    <w:rsid w:val="004F6EF1"/>
    <w:rsid w:val="004F7ED9"/>
    <w:rsid w:val="005007E2"/>
    <w:rsid w:val="00500898"/>
    <w:rsid w:val="00501102"/>
    <w:rsid w:val="00501F06"/>
    <w:rsid w:val="00502B85"/>
    <w:rsid w:val="00503452"/>
    <w:rsid w:val="00503478"/>
    <w:rsid w:val="00505E52"/>
    <w:rsid w:val="005116FD"/>
    <w:rsid w:val="00511A8A"/>
    <w:rsid w:val="00512D89"/>
    <w:rsid w:val="00516D72"/>
    <w:rsid w:val="005207EB"/>
    <w:rsid w:val="005221DB"/>
    <w:rsid w:val="005224F0"/>
    <w:rsid w:val="00523355"/>
    <w:rsid w:val="00523AA6"/>
    <w:rsid w:val="005242ED"/>
    <w:rsid w:val="00524753"/>
    <w:rsid w:val="005261C8"/>
    <w:rsid w:val="0052623C"/>
    <w:rsid w:val="00527F5B"/>
    <w:rsid w:val="00531D5B"/>
    <w:rsid w:val="005331CF"/>
    <w:rsid w:val="0053371C"/>
    <w:rsid w:val="00537B62"/>
    <w:rsid w:val="00540445"/>
    <w:rsid w:val="00540C51"/>
    <w:rsid w:val="005454D5"/>
    <w:rsid w:val="00547131"/>
    <w:rsid w:val="00550D32"/>
    <w:rsid w:val="00553397"/>
    <w:rsid w:val="00554724"/>
    <w:rsid w:val="005549AD"/>
    <w:rsid w:val="005550AE"/>
    <w:rsid w:val="005552D9"/>
    <w:rsid w:val="00555C62"/>
    <w:rsid w:val="005565AC"/>
    <w:rsid w:val="00556B0B"/>
    <w:rsid w:val="00557C71"/>
    <w:rsid w:val="0056499A"/>
    <w:rsid w:val="00566CDD"/>
    <w:rsid w:val="00566ECF"/>
    <w:rsid w:val="00570EA4"/>
    <w:rsid w:val="005721B0"/>
    <w:rsid w:val="00572D16"/>
    <w:rsid w:val="0057429B"/>
    <w:rsid w:val="00575E2D"/>
    <w:rsid w:val="00576CC0"/>
    <w:rsid w:val="005777B9"/>
    <w:rsid w:val="00580136"/>
    <w:rsid w:val="00582650"/>
    <w:rsid w:val="00584937"/>
    <w:rsid w:val="00584BA1"/>
    <w:rsid w:val="00584DA1"/>
    <w:rsid w:val="00585497"/>
    <w:rsid w:val="005870C8"/>
    <w:rsid w:val="00587BF1"/>
    <w:rsid w:val="0059030C"/>
    <w:rsid w:val="00590CD5"/>
    <w:rsid w:val="0059543B"/>
    <w:rsid w:val="005956B0"/>
    <w:rsid w:val="00596D32"/>
    <w:rsid w:val="005A1320"/>
    <w:rsid w:val="005A4CEA"/>
    <w:rsid w:val="005A6C35"/>
    <w:rsid w:val="005A72D8"/>
    <w:rsid w:val="005B3619"/>
    <w:rsid w:val="005B3A52"/>
    <w:rsid w:val="005C0744"/>
    <w:rsid w:val="005C3F38"/>
    <w:rsid w:val="005C3F4D"/>
    <w:rsid w:val="005D149B"/>
    <w:rsid w:val="005D1DBB"/>
    <w:rsid w:val="005D3F2F"/>
    <w:rsid w:val="005D465D"/>
    <w:rsid w:val="005D7223"/>
    <w:rsid w:val="005E0C92"/>
    <w:rsid w:val="005E105C"/>
    <w:rsid w:val="005E1A07"/>
    <w:rsid w:val="005E30C1"/>
    <w:rsid w:val="005E4B19"/>
    <w:rsid w:val="005E592C"/>
    <w:rsid w:val="005E5A68"/>
    <w:rsid w:val="005E5A86"/>
    <w:rsid w:val="005E6583"/>
    <w:rsid w:val="005F17B2"/>
    <w:rsid w:val="005F1E32"/>
    <w:rsid w:val="005F2A66"/>
    <w:rsid w:val="005F35E4"/>
    <w:rsid w:val="005F3CD7"/>
    <w:rsid w:val="005F7051"/>
    <w:rsid w:val="00601AF6"/>
    <w:rsid w:val="00605620"/>
    <w:rsid w:val="00606C39"/>
    <w:rsid w:val="00611641"/>
    <w:rsid w:val="00611B4C"/>
    <w:rsid w:val="00615CA9"/>
    <w:rsid w:val="0061686A"/>
    <w:rsid w:val="006170F1"/>
    <w:rsid w:val="00617F18"/>
    <w:rsid w:val="006204BA"/>
    <w:rsid w:val="00621986"/>
    <w:rsid w:val="006240FE"/>
    <w:rsid w:val="00624D1A"/>
    <w:rsid w:val="00627C23"/>
    <w:rsid w:val="00630AA0"/>
    <w:rsid w:val="0063222D"/>
    <w:rsid w:val="00632817"/>
    <w:rsid w:val="00634F3D"/>
    <w:rsid w:val="0063550F"/>
    <w:rsid w:val="00635951"/>
    <w:rsid w:val="00636B7E"/>
    <w:rsid w:val="00637763"/>
    <w:rsid w:val="00642525"/>
    <w:rsid w:val="006501FD"/>
    <w:rsid w:val="0065064E"/>
    <w:rsid w:val="00651CA5"/>
    <w:rsid w:val="00652542"/>
    <w:rsid w:val="00652600"/>
    <w:rsid w:val="00652C81"/>
    <w:rsid w:val="00657A1A"/>
    <w:rsid w:val="00661874"/>
    <w:rsid w:val="00662635"/>
    <w:rsid w:val="006634C7"/>
    <w:rsid w:val="0066476E"/>
    <w:rsid w:val="0066666A"/>
    <w:rsid w:val="006708BA"/>
    <w:rsid w:val="00670B7D"/>
    <w:rsid w:val="00671D3A"/>
    <w:rsid w:val="00671D3E"/>
    <w:rsid w:val="00673F42"/>
    <w:rsid w:val="0067673B"/>
    <w:rsid w:val="00680400"/>
    <w:rsid w:val="00680C95"/>
    <w:rsid w:val="00683E22"/>
    <w:rsid w:val="0068566D"/>
    <w:rsid w:val="006857C3"/>
    <w:rsid w:val="00690EA4"/>
    <w:rsid w:val="00691009"/>
    <w:rsid w:val="00691439"/>
    <w:rsid w:val="0069288B"/>
    <w:rsid w:val="0069298A"/>
    <w:rsid w:val="00693012"/>
    <w:rsid w:val="006934B5"/>
    <w:rsid w:val="006946BB"/>
    <w:rsid w:val="006972AD"/>
    <w:rsid w:val="00697BAD"/>
    <w:rsid w:val="006A209E"/>
    <w:rsid w:val="006A2416"/>
    <w:rsid w:val="006A2693"/>
    <w:rsid w:val="006A471B"/>
    <w:rsid w:val="006A5E20"/>
    <w:rsid w:val="006B17F7"/>
    <w:rsid w:val="006B1B3C"/>
    <w:rsid w:val="006B322C"/>
    <w:rsid w:val="006B32BF"/>
    <w:rsid w:val="006B444E"/>
    <w:rsid w:val="006C17F8"/>
    <w:rsid w:val="006C3121"/>
    <w:rsid w:val="006C34E7"/>
    <w:rsid w:val="006C5854"/>
    <w:rsid w:val="006C71F2"/>
    <w:rsid w:val="006D03F5"/>
    <w:rsid w:val="006D073C"/>
    <w:rsid w:val="006D1331"/>
    <w:rsid w:val="006D1C03"/>
    <w:rsid w:val="006D24A5"/>
    <w:rsid w:val="006D39D0"/>
    <w:rsid w:val="006D3D1B"/>
    <w:rsid w:val="006D4403"/>
    <w:rsid w:val="006D5E70"/>
    <w:rsid w:val="006D66CC"/>
    <w:rsid w:val="006E03B8"/>
    <w:rsid w:val="006E093A"/>
    <w:rsid w:val="006E22F6"/>
    <w:rsid w:val="006E2BE6"/>
    <w:rsid w:val="006E2EAB"/>
    <w:rsid w:val="006E4F70"/>
    <w:rsid w:val="006E526A"/>
    <w:rsid w:val="006E7D37"/>
    <w:rsid w:val="006F08C6"/>
    <w:rsid w:val="006F2783"/>
    <w:rsid w:val="006F2CE6"/>
    <w:rsid w:val="006F4AAE"/>
    <w:rsid w:val="006F5D6A"/>
    <w:rsid w:val="006F6E1C"/>
    <w:rsid w:val="006F715E"/>
    <w:rsid w:val="007005CA"/>
    <w:rsid w:val="00700761"/>
    <w:rsid w:val="00702852"/>
    <w:rsid w:val="00702A98"/>
    <w:rsid w:val="00702FAD"/>
    <w:rsid w:val="007049A2"/>
    <w:rsid w:val="00706136"/>
    <w:rsid w:val="00710858"/>
    <w:rsid w:val="00710AA6"/>
    <w:rsid w:val="007134A0"/>
    <w:rsid w:val="00714F7A"/>
    <w:rsid w:val="00716232"/>
    <w:rsid w:val="007162F2"/>
    <w:rsid w:val="00716C3D"/>
    <w:rsid w:val="00717045"/>
    <w:rsid w:val="00717613"/>
    <w:rsid w:val="00722AE8"/>
    <w:rsid w:val="0072305D"/>
    <w:rsid w:val="0072360C"/>
    <w:rsid w:val="00723937"/>
    <w:rsid w:val="00723D04"/>
    <w:rsid w:val="00727CF5"/>
    <w:rsid w:val="007303CA"/>
    <w:rsid w:val="00730F53"/>
    <w:rsid w:val="0073247B"/>
    <w:rsid w:val="00733D3D"/>
    <w:rsid w:val="007406D5"/>
    <w:rsid w:val="00740AB8"/>
    <w:rsid w:val="0074141E"/>
    <w:rsid w:val="0074467B"/>
    <w:rsid w:val="00744E34"/>
    <w:rsid w:val="00747593"/>
    <w:rsid w:val="00747DC4"/>
    <w:rsid w:val="007514F4"/>
    <w:rsid w:val="007515A2"/>
    <w:rsid w:val="00751696"/>
    <w:rsid w:val="00752BBB"/>
    <w:rsid w:val="00753911"/>
    <w:rsid w:val="00753AD4"/>
    <w:rsid w:val="007545CE"/>
    <w:rsid w:val="0075504F"/>
    <w:rsid w:val="00756A09"/>
    <w:rsid w:val="007627B2"/>
    <w:rsid w:val="00762836"/>
    <w:rsid w:val="00770B79"/>
    <w:rsid w:val="007740D4"/>
    <w:rsid w:val="0077532C"/>
    <w:rsid w:val="00775D17"/>
    <w:rsid w:val="00777B97"/>
    <w:rsid w:val="007802AE"/>
    <w:rsid w:val="00780949"/>
    <w:rsid w:val="007823C8"/>
    <w:rsid w:val="007838FB"/>
    <w:rsid w:val="007862F9"/>
    <w:rsid w:val="00786927"/>
    <w:rsid w:val="00793EB9"/>
    <w:rsid w:val="00793F62"/>
    <w:rsid w:val="0079453F"/>
    <w:rsid w:val="00797A7D"/>
    <w:rsid w:val="007A198A"/>
    <w:rsid w:val="007A2A9E"/>
    <w:rsid w:val="007A32DB"/>
    <w:rsid w:val="007A577B"/>
    <w:rsid w:val="007A62DB"/>
    <w:rsid w:val="007A6E3D"/>
    <w:rsid w:val="007A7F89"/>
    <w:rsid w:val="007B007C"/>
    <w:rsid w:val="007B1819"/>
    <w:rsid w:val="007B2111"/>
    <w:rsid w:val="007B3B6A"/>
    <w:rsid w:val="007B69F4"/>
    <w:rsid w:val="007B7C4C"/>
    <w:rsid w:val="007C0820"/>
    <w:rsid w:val="007C261C"/>
    <w:rsid w:val="007C3C54"/>
    <w:rsid w:val="007C5C5A"/>
    <w:rsid w:val="007C74BE"/>
    <w:rsid w:val="007D02E0"/>
    <w:rsid w:val="007D4096"/>
    <w:rsid w:val="007D77E3"/>
    <w:rsid w:val="007E18ED"/>
    <w:rsid w:val="007E1D0E"/>
    <w:rsid w:val="007E5775"/>
    <w:rsid w:val="007E652F"/>
    <w:rsid w:val="007F1239"/>
    <w:rsid w:val="007F3469"/>
    <w:rsid w:val="00800509"/>
    <w:rsid w:val="00802140"/>
    <w:rsid w:val="008021AC"/>
    <w:rsid w:val="00804762"/>
    <w:rsid w:val="008069B6"/>
    <w:rsid w:val="00806EB4"/>
    <w:rsid w:val="00807400"/>
    <w:rsid w:val="0081143F"/>
    <w:rsid w:val="00811612"/>
    <w:rsid w:val="00812E89"/>
    <w:rsid w:val="00814C84"/>
    <w:rsid w:val="00815DA7"/>
    <w:rsid w:val="0081773E"/>
    <w:rsid w:val="00821CF8"/>
    <w:rsid w:val="00821E29"/>
    <w:rsid w:val="00823195"/>
    <w:rsid w:val="00823D45"/>
    <w:rsid w:val="00825732"/>
    <w:rsid w:val="00826019"/>
    <w:rsid w:val="00827788"/>
    <w:rsid w:val="0083025F"/>
    <w:rsid w:val="00830A44"/>
    <w:rsid w:val="00832537"/>
    <w:rsid w:val="00833A64"/>
    <w:rsid w:val="00836155"/>
    <w:rsid w:val="00836D6C"/>
    <w:rsid w:val="00836F29"/>
    <w:rsid w:val="00842435"/>
    <w:rsid w:val="008444D6"/>
    <w:rsid w:val="008450E6"/>
    <w:rsid w:val="00847D79"/>
    <w:rsid w:val="00847E3F"/>
    <w:rsid w:val="008516BC"/>
    <w:rsid w:val="00853158"/>
    <w:rsid w:val="00853E68"/>
    <w:rsid w:val="00861739"/>
    <w:rsid w:val="00861796"/>
    <w:rsid w:val="008629B0"/>
    <w:rsid w:val="0086311A"/>
    <w:rsid w:val="00864765"/>
    <w:rsid w:val="008648F7"/>
    <w:rsid w:val="008652D5"/>
    <w:rsid w:val="00867CD3"/>
    <w:rsid w:val="00870B64"/>
    <w:rsid w:val="008711C0"/>
    <w:rsid w:val="00873BA3"/>
    <w:rsid w:val="0087440C"/>
    <w:rsid w:val="0087519C"/>
    <w:rsid w:val="00880682"/>
    <w:rsid w:val="00880CCA"/>
    <w:rsid w:val="008845F8"/>
    <w:rsid w:val="00884A6E"/>
    <w:rsid w:val="00885EB1"/>
    <w:rsid w:val="00886FAA"/>
    <w:rsid w:val="008877BC"/>
    <w:rsid w:val="008904F9"/>
    <w:rsid w:val="00890BE1"/>
    <w:rsid w:val="00891F38"/>
    <w:rsid w:val="00892379"/>
    <w:rsid w:val="0089486B"/>
    <w:rsid w:val="00894B9F"/>
    <w:rsid w:val="00894CF8"/>
    <w:rsid w:val="008957D3"/>
    <w:rsid w:val="00895CD4"/>
    <w:rsid w:val="00896298"/>
    <w:rsid w:val="00896432"/>
    <w:rsid w:val="00896A4D"/>
    <w:rsid w:val="00897DC3"/>
    <w:rsid w:val="008A058C"/>
    <w:rsid w:val="008A074F"/>
    <w:rsid w:val="008A1F70"/>
    <w:rsid w:val="008A2897"/>
    <w:rsid w:val="008A296B"/>
    <w:rsid w:val="008A3968"/>
    <w:rsid w:val="008A5EF8"/>
    <w:rsid w:val="008A74A5"/>
    <w:rsid w:val="008A77CB"/>
    <w:rsid w:val="008A7B24"/>
    <w:rsid w:val="008B142A"/>
    <w:rsid w:val="008B394A"/>
    <w:rsid w:val="008B3CB8"/>
    <w:rsid w:val="008B51EC"/>
    <w:rsid w:val="008B539C"/>
    <w:rsid w:val="008B5518"/>
    <w:rsid w:val="008B5690"/>
    <w:rsid w:val="008B5D46"/>
    <w:rsid w:val="008B6972"/>
    <w:rsid w:val="008B6DF2"/>
    <w:rsid w:val="008B6F11"/>
    <w:rsid w:val="008B718D"/>
    <w:rsid w:val="008B7AC8"/>
    <w:rsid w:val="008C0225"/>
    <w:rsid w:val="008C0D4A"/>
    <w:rsid w:val="008C3079"/>
    <w:rsid w:val="008C3AF2"/>
    <w:rsid w:val="008C4CBE"/>
    <w:rsid w:val="008C5723"/>
    <w:rsid w:val="008C59AD"/>
    <w:rsid w:val="008C5AF6"/>
    <w:rsid w:val="008C5CC6"/>
    <w:rsid w:val="008C6A19"/>
    <w:rsid w:val="008D2112"/>
    <w:rsid w:val="008D21B7"/>
    <w:rsid w:val="008D26B8"/>
    <w:rsid w:val="008D2A32"/>
    <w:rsid w:val="008D31A2"/>
    <w:rsid w:val="008D3ADB"/>
    <w:rsid w:val="008D511F"/>
    <w:rsid w:val="008E1B45"/>
    <w:rsid w:val="008E2829"/>
    <w:rsid w:val="008E3435"/>
    <w:rsid w:val="008E6E4D"/>
    <w:rsid w:val="008E75FE"/>
    <w:rsid w:val="008E7C7B"/>
    <w:rsid w:val="008F19F4"/>
    <w:rsid w:val="008F3F5E"/>
    <w:rsid w:val="008F4325"/>
    <w:rsid w:val="008F4735"/>
    <w:rsid w:val="008F478A"/>
    <w:rsid w:val="008F6A95"/>
    <w:rsid w:val="008F7157"/>
    <w:rsid w:val="008F7457"/>
    <w:rsid w:val="00911EDE"/>
    <w:rsid w:val="00912A93"/>
    <w:rsid w:val="00913D6F"/>
    <w:rsid w:val="00914888"/>
    <w:rsid w:val="00914BC1"/>
    <w:rsid w:val="0091538D"/>
    <w:rsid w:val="00915497"/>
    <w:rsid w:val="0091560D"/>
    <w:rsid w:val="00916308"/>
    <w:rsid w:val="00916CA2"/>
    <w:rsid w:val="00917392"/>
    <w:rsid w:val="0091755E"/>
    <w:rsid w:val="00920C1C"/>
    <w:rsid w:val="009216D3"/>
    <w:rsid w:val="00922B6D"/>
    <w:rsid w:val="00924E12"/>
    <w:rsid w:val="00924F01"/>
    <w:rsid w:val="0092712F"/>
    <w:rsid w:val="009330D8"/>
    <w:rsid w:val="0093317B"/>
    <w:rsid w:val="00933722"/>
    <w:rsid w:val="009361E8"/>
    <w:rsid w:val="009371DD"/>
    <w:rsid w:val="00941418"/>
    <w:rsid w:val="00943D83"/>
    <w:rsid w:val="009440F3"/>
    <w:rsid w:val="009443AA"/>
    <w:rsid w:val="00944949"/>
    <w:rsid w:val="00944AB4"/>
    <w:rsid w:val="00945943"/>
    <w:rsid w:val="00947275"/>
    <w:rsid w:val="00947C3F"/>
    <w:rsid w:val="00947C97"/>
    <w:rsid w:val="00950C04"/>
    <w:rsid w:val="0095148B"/>
    <w:rsid w:val="0095164E"/>
    <w:rsid w:val="00955DAC"/>
    <w:rsid w:val="00956B63"/>
    <w:rsid w:val="00957B55"/>
    <w:rsid w:val="00961BD2"/>
    <w:rsid w:val="0096261D"/>
    <w:rsid w:val="009644C0"/>
    <w:rsid w:val="00964D31"/>
    <w:rsid w:val="009657AE"/>
    <w:rsid w:val="0096602B"/>
    <w:rsid w:val="009667F1"/>
    <w:rsid w:val="00966E8A"/>
    <w:rsid w:val="00967A76"/>
    <w:rsid w:val="00972012"/>
    <w:rsid w:val="0097255F"/>
    <w:rsid w:val="00973282"/>
    <w:rsid w:val="00973EA7"/>
    <w:rsid w:val="00974E3F"/>
    <w:rsid w:val="009765BD"/>
    <w:rsid w:val="00976CE0"/>
    <w:rsid w:val="00977388"/>
    <w:rsid w:val="00977493"/>
    <w:rsid w:val="00981E18"/>
    <w:rsid w:val="009842E9"/>
    <w:rsid w:val="00985599"/>
    <w:rsid w:val="009861B2"/>
    <w:rsid w:val="009919D7"/>
    <w:rsid w:val="00992E33"/>
    <w:rsid w:val="009930C3"/>
    <w:rsid w:val="0099415E"/>
    <w:rsid w:val="00995B71"/>
    <w:rsid w:val="0099629A"/>
    <w:rsid w:val="0099707E"/>
    <w:rsid w:val="00997E12"/>
    <w:rsid w:val="009A00C4"/>
    <w:rsid w:val="009A137D"/>
    <w:rsid w:val="009A2381"/>
    <w:rsid w:val="009A364A"/>
    <w:rsid w:val="009A38E7"/>
    <w:rsid w:val="009B01FB"/>
    <w:rsid w:val="009B2245"/>
    <w:rsid w:val="009B28D6"/>
    <w:rsid w:val="009B4622"/>
    <w:rsid w:val="009C1FB9"/>
    <w:rsid w:val="009C3DF8"/>
    <w:rsid w:val="009C4852"/>
    <w:rsid w:val="009C67C6"/>
    <w:rsid w:val="009C7AC5"/>
    <w:rsid w:val="009C7C55"/>
    <w:rsid w:val="009D159C"/>
    <w:rsid w:val="009D240B"/>
    <w:rsid w:val="009D2418"/>
    <w:rsid w:val="009D31B1"/>
    <w:rsid w:val="009D45A0"/>
    <w:rsid w:val="009D5DDD"/>
    <w:rsid w:val="009E3356"/>
    <w:rsid w:val="009E625E"/>
    <w:rsid w:val="009E6673"/>
    <w:rsid w:val="009F02B0"/>
    <w:rsid w:val="009F060F"/>
    <w:rsid w:val="009F2C28"/>
    <w:rsid w:val="009F452A"/>
    <w:rsid w:val="009F6740"/>
    <w:rsid w:val="00A016A1"/>
    <w:rsid w:val="00A02D71"/>
    <w:rsid w:val="00A033D1"/>
    <w:rsid w:val="00A039F9"/>
    <w:rsid w:val="00A03A10"/>
    <w:rsid w:val="00A03ECA"/>
    <w:rsid w:val="00A04570"/>
    <w:rsid w:val="00A0494E"/>
    <w:rsid w:val="00A0595F"/>
    <w:rsid w:val="00A0661E"/>
    <w:rsid w:val="00A1029E"/>
    <w:rsid w:val="00A102BA"/>
    <w:rsid w:val="00A14006"/>
    <w:rsid w:val="00A15450"/>
    <w:rsid w:val="00A16C1C"/>
    <w:rsid w:val="00A16F14"/>
    <w:rsid w:val="00A207C9"/>
    <w:rsid w:val="00A20BFE"/>
    <w:rsid w:val="00A26FA9"/>
    <w:rsid w:val="00A307CB"/>
    <w:rsid w:val="00A37EF4"/>
    <w:rsid w:val="00A40BC5"/>
    <w:rsid w:val="00A4177A"/>
    <w:rsid w:val="00A42BCF"/>
    <w:rsid w:val="00A43E47"/>
    <w:rsid w:val="00A4747D"/>
    <w:rsid w:val="00A5084D"/>
    <w:rsid w:val="00A50CAF"/>
    <w:rsid w:val="00A53E36"/>
    <w:rsid w:val="00A55B47"/>
    <w:rsid w:val="00A569CA"/>
    <w:rsid w:val="00A571FF"/>
    <w:rsid w:val="00A57D61"/>
    <w:rsid w:val="00A57DEC"/>
    <w:rsid w:val="00A622A9"/>
    <w:rsid w:val="00A627CF"/>
    <w:rsid w:val="00A63330"/>
    <w:rsid w:val="00A64883"/>
    <w:rsid w:val="00A66724"/>
    <w:rsid w:val="00A71F5F"/>
    <w:rsid w:val="00A72A00"/>
    <w:rsid w:val="00A733BF"/>
    <w:rsid w:val="00A7493B"/>
    <w:rsid w:val="00A74F52"/>
    <w:rsid w:val="00A75EB3"/>
    <w:rsid w:val="00A80148"/>
    <w:rsid w:val="00A81CC3"/>
    <w:rsid w:val="00A8230F"/>
    <w:rsid w:val="00A82521"/>
    <w:rsid w:val="00A86B40"/>
    <w:rsid w:val="00A902B4"/>
    <w:rsid w:val="00A90B03"/>
    <w:rsid w:val="00A91721"/>
    <w:rsid w:val="00A91E0E"/>
    <w:rsid w:val="00A9289B"/>
    <w:rsid w:val="00A93B8B"/>
    <w:rsid w:val="00A945A9"/>
    <w:rsid w:val="00A9498D"/>
    <w:rsid w:val="00A96132"/>
    <w:rsid w:val="00A9700B"/>
    <w:rsid w:val="00AA0787"/>
    <w:rsid w:val="00AA1A6C"/>
    <w:rsid w:val="00AA1DD7"/>
    <w:rsid w:val="00AA33A9"/>
    <w:rsid w:val="00AA3925"/>
    <w:rsid w:val="00AA4AA1"/>
    <w:rsid w:val="00AA68EB"/>
    <w:rsid w:val="00AA7562"/>
    <w:rsid w:val="00AA75B1"/>
    <w:rsid w:val="00AA768C"/>
    <w:rsid w:val="00AB2128"/>
    <w:rsid w:val="00AB24EF"/>
    <w:rsid w:val="00AB3068"/>
    <w:rsid w:val="00AB3F07"/>
    <w:rsid w:val="00AB5465"/>
    <w:rsid w:val="00AB5C15"/>
    <w:rsid w:val="00AB60AA"/>
    <w:rsid w:val="00AB6F2F"/>
    <w:rsid w:val="00AC0B61"/>
    <w:rsid w:val="00AC29FD"/>
    <w:rsid w:val="00AC3629"/>
    <w:rsid w:val="00AC46C6"/>
    <w:rsid w:val="00AC5313"/>
    <w:rsid w:val="00AC60FC"/>
    <w:rsid w:val="00AC623D"/>
    <w:rsid w:val="00AC62E8"/>
    <w:rsid w:val="00AC694B"/>
    <w:rsid w:val="00AC69C1"/>
    <w:rsid w:val="00AC7FF2"/>
    <w:rsid w:val="00AD1431"/>
    <w:rsid w:val="00AD194D"/>
    <w:rsid w:val="00AD27D3"/>
    <w:rsid w:val="00AD52C2"/>
    <w:rsid w:val="00AE1D4A"/>
    <w:rsid w:val="00AE3319"/>
    <w:rsid w:val="00AE4683"/>
    <w:rsid w:val="00AF12CD"/>
    <w:rsid w:val="00AF1405"/>
    <w:rsid w:val="00AF175A"/>
    <w:rsid w:val="00AF1A0A"/>
    <w:rsid w:val="00AF1A1F"/>
    <w:rsid w:val="00AF1E23"/>
    <w:rsid w:val="00AF26A0"/>
    <w:rsid w:val="00AF30AC"/>
    <w:rsid w:val="00AF3D09"/>
    <w:rsid w:val="00AF6C67"/>
    <w:rsid w:val="00AF76B0"/>
    <w:rsid w:val="00B0137C"/>
    <w:rsid w:val="00B018FB"/>
    <w:rsid w:val="00B02353"/>
    <w:rsid w:val="00B03255"/>
    <w:rsid w:val="00B034A3"/>
    <w:rsid w:val="00B05597"/>
    <w:rsid w:val="00B05697"/>
    <w:rsid w:val="00B06853"/>
    <w:rsid w:val="00B07E69"/>
    <w:rsid w:val="00B1351B"/>
    <w:rsid w:val="00B1478E"/>
    <w:rsid w:val="00B16731"/>
    <w:rsid w:val="00B17EC9"/>
    <w:rsid w:val="00B17F12"/>
    <w:rsid w:val="00B21053"/>
    <w:rsid w:val="00B215E0"/>
    <w:rsid w:val="00B22A2E"/>
    <w:rsid w:val="00B22F30"/>
    <w:rsid w:val="00B23241"/>
    <w:rsid w:val="00B233D6"/>
    <w:rsid w:val="00B275FD"/>
    <w:rsid w:val="00B3050E"/>
    <w:rsid w:val="00B31606"/>
    <w:rsid w:val="00B31A31"/>
    <w:rsid w:val="00B34661"/>
    <w:rsid w:val="00B4086E"/>
    <w:rsid w:val="00B41D9C"/>
    <w:rsid w:val="00B42CF8"/>
    <w:rsid w:val="00B44726"/>
    <w:rsid w:val="00B44BB7"/>
    <w:rsid w:val="00B45575"/>
    <w:rsid w:val="00B45CEC"/>
    <w:rsid w:val="00B45F85"/>
    <w:rsid w:val="00B46CDE"/>
    <w:rsid w:val="00B47C56"/>
    <w:rsid w:val="00B503B0"/>
    <w:rsid w:val="00B5147D"/>
    <w:rsid w:val="00B514D5"/>
    <w:rsid w:val="00B522F2"/>
    <w:rsid w:val="00B52809"/>
    <w:rsid w:val="00B5492E"/>
    <w:rsid w:val="00B54BED"/>
    <w:rsid w:val="00B56509"/>
    <w:rsid w:val="00B60136"/>
    <w:rsid w:val="00B60205"/>
    <w:rsid w:val="00B61285"/>
    <w:rsid w:val="00B61617"/>
    <w:rsid w:val="00B616C7"/>
    <w:rsid w:val="00B63347"/>
    <w:rsid w:val="00B637DC"/>
    <w:rsid w:val="00B6394E"/>
    <w:rsid w:val="00B6496A"/>
    <w:rsid w:val="00B650B4"/>
    <w:rsid w:val="00B67524"/>
    <w:rsid w:val="00B703CD"/>
    <w:rsid w:val="00B70DF2"/>
    <w:rsid w:val="00B72369"/>
    <w:rsid w:val="00B734A0"/>
    <w:rsid w:val="00B741C3"/>
    <w:rsid w:val="00B747EE"/>
    <w:rsid w:val="00B77A65"/>
    <w:rsid w:val="00B77DA7"/>
    <w:rsid w:val="00B806DF"/>
    <w:rsid w:val="00B8079F"/>
    <w:rsid w:val="00B81E50"/>
    <w:rsid w:val="00B82C78"/>
    <w:rsid w:val="00B8396E"/>
    <w:rsid w:val="00B86598"/>
    <w:rsid w:val="00B8659D"/>
    <w:rsid w:val="00B87BDB"/>
    <w:rsid w:val="00B95251"/>
    <w:rsid w:val="00B95EE5"/>
    <w:rsid w:val="00B977B2"/>
    <w:rsid w:val="00BA00BC"/>
    <w:rsid w:val="00BA0AFE"/>
    <w:rsid w:val="00BA0BA8"/>
    <w:rsid w:val="00BA1B40"/>
    <w:rsid w:val="00BA3B05"/>
    <w:rsid w:val="00BA6BEE"/>
    <w:rsid w:val="00BA738D"/>
    <w:rsid w:val="00BA7D20"/>
    <w:rsid w:val="00BB0125"/>
    <w:rsid w:val="00BB24DE"/>
    <w:rsid w:val="00BB25E6"/>
    <w:rsid w:val="00BB3101"/>
    <w:rsid w:val="00BB53E8"/>
    <w:rsid w:val="00BC0CF0"/>
    <w:rsid w:val="00BC4AC9"/>
    <w:rsid w:val="00BC5A27"/>
    <w:rsid w:val="00BC6AFB"/>
    <w:rsid w:val="00BC6B81"/>
    <w:rsid w:val="00BC7D37"/>
    <w:rsid w:val="00BD28B2"/>
    <w:rsid w:val="00BD2F75"/>
    <w:rsid w:val="00BD4405"/>
    <w:rsid w:val="00BD559D"/>
    <w:rsid w:val="00BD6A90"/>
    <w:rsid w:val="00BD7A9A"/>
    <w:rsid w:val="00BE000D"/>
    <w:rsid w:val="00BE01FC"/>
    <w:rsid w:val="00BE08EB"/>
    <w:rsid w:val="00BE1A1C"/>
    <w:rsid w:val="00BE1D85"/>
    <w:rsid w:val="00BE2148"/>
    <w:rsid w:val="00BE32A1"/>
    <w:rsid w:val="00BE3449"/>
    <w:rsid w:val="00BE4D04"/>
    <w:rsid w:val="00BE5EF9"/>
    <w:rsid w:val="00BF0DED"/>
    <w:rsid w:val="00BF5D9F"/>
    <w:rsid w:val="00C026E9"/>
    <w:rsid w:val="00C03B2F"/>
    <w:rsid w:val="00C03D29"/>
    <w:rsid w:val="00C04CA6"/>
    <w:rsid w:val="00C05278"/>
    <w:rsid w:val="00C05E26"/>
    <w:rsid w:val="00C071D0"/>
    <w:rsid w:val="00C074E2"/>
    <w:rsid w:val="00C07A47"/>
    <w:rsid w:val="00C07C15"/>
    <w:rsid w:val="00C11A2F"/>
    <w:rsid w:val="00C11C26"/>
    <w:rsid w:val="00C132E1"/>
    <w:rsid w:val="00C132F6"/>
    <w:rsid w:val="00C14B50"/>
    <w:rsid w:val="00C15330"/>
    <w:rsid w:val="00C165F3"/>
    <w:rsid w:val="00C16C41"/>
    <w:rsid w:val="00C1742A"/>
    <w:rsid w:val="00C21C6B"/>
    <w:rsid w:val="00C23706"/>
    <w:rsid w:val="00C267F1"/>
    <w:rsid w:val="00C26D3E"/>
    <w:rsid w:val="00C30821"/>
    <w:rsid w:val="00C3266C"/>
    <w:rsid w:val="00C327DF"/>
    <w:rsid w:val="00C32F40"/>
    <w:rsid w:val="00C333A4"/>
    <w:rsid w:val="00C3490A"/>
    <w:rsid w:val="00C3663A"/>
    <w:rsid w:val="00C36E6D"/>
    <w:rsid w:val="00C37BB8"/>
    <w:rsid w:val="00C40317"/>
    <w:rsid w:val="00C408C3"/>
    <w:rsid w:val="00C41E86"/>
    <w:rsid w:val="00C42D11"/>
    <w:rsid w:val="00C46976"/>
    <w:rsid w:val="00C4725B"/>
    <w:rsid w:val="00C52934"/>
    <w:rsid w:val="00C53949"/>
    <w:rsid w:val="00C55776"/>
    <w:rsid w:val="00C56BAA"/>
    <w:rsid w:val="00C571FE"/>
    <w:rsid w:val="00C57648"/>
    <w:rsid w:val="00C60225"/>
    <w:rsid w:val="00C61053"/>
    <w:rsid w:val="00C61709"/>
    <w:rsid w:val="00C61C9B"/>
    <w:rsid w:val="00C62285"/>
    <w:rsid w:val="00C631F8"/>
    <w:rsid w:val="00C641DB"/>
    <w:rsid w:val="00C703D5"/>
    <w:rsid w:val="00C7147D"/>
    <w:rsid w:val="00C72262"/>
    <w:rsid w:val="00C73943"/>
    <w:rsid w:val="00C73C45"/>
    <w:rsid w:val="00C7465F"/>
    <w:rsid w:val="00C75664"/>
    <w:rsid w:val="00C76EAB"/>
    <w:rsid w:val="00C7756B"/>
    <w:rsid w:val="00C77EC8"/>
    <w:rsid w:val="00C82400"/>
    <w:rsid w:val="00C83B33"/>
    <w:rsid w:val="00C83BC4"/>
    <w:rsid w:val="00C8407C"/>
    <w:rsid w:val="00C843B6"/>
    <w:rsid w:val="00C85D9B"/>
    <w:rsid w:val="00C86D05"/>
    <w:rsid w:val="00C91367"/>
    <w:rsid w:val="00C91508"/>
    <w:rsid w:val="00C917E3"/>
    <w:rsid w:val="00C91A97"/>
    <w:rsid w:val="00C92C48"/>
    <w:rsid w:val="00C92F6D"/>
    <w:rsid w:val="00CA01DF"/>
    <w:rsid w:val="00CA2D30"/>
    <w:rsid w:val="00CA42A1"/>
    <w:rsid w:val="00CA6F65"/>
    <w:rsid w:val="00CA7442"/>
    <w:rsid w:val="00CA7DE0"/>
    <w:rsid w:val="00CB1465"/>
    <w:rsid w:val="00CB56C9"/>
    <w:rsid w:val="00CC0C7D"/>
    <w:rsid w:val="00CC18BB"/>
    <w:rsid w:val="00CC1C44"/>
    <w:rsid w:val="00CC2569"/>
    <w:rsid w:val="00CC2C73"/>
    <w:rsid w:val="00CC44A7"/>
    <w:rsid w:val="00CC4D5A"/>
    <w:rsid w:val="00CC52F6"/>
    <w:rsid w:val="00CC5726"/>
    <w:rsid w:val="00CD0988"/>
    <w:rsid w:val="00CD0BA3"/>
    <w:rsid w:val="00CD26B6"/>
    <w:rsid w:val="00CD523F"/>
    <w:rsid w:val="00CD5927"/>
    <w:rsid w:val="00CD79B1"/>
    <w:rsid w:val="00CE00A5"/>
    <w:rsid w:val="00CE0B0B"/>
    <w:rsid w:val="00CE2447"/>
    <w:rsid w:val="00CE2C31"/>
    <w:rsid w:val="00CE365F"/>
    <w:rsid w:val="00CE45FB"/>
    <w:rsid w:val="00CE6EF8"/>
    <w:rsid w:val="00CE7313"/>
    <w:rsid w:val="00CF18FC"/>
    <w:rsid w:val="00CF2204"/>
    <w:rsid w:val="00CF3624"/>
    <w:rsid w:val="00CF424D"/>
    <w:rsid w:val="00CF5AF8"/>
    <w:rsid w:val="00CF624F"/>
    <w:rsid w:val="00D00478"/>
    <w:rsid w:val="00D0055F"/>
    <w:rsid w:val="00D03250"/>
    <w:rsid w:val="00D0433B"/>
    <w:rsid w:val="00D06450"/>
    <w:rsid w:val="00D0712E"/>
    <w:rsid w:val="00D078FD"/>
    <w:rsid w:val="00D10C7D"/>
    <w:rsid w:val="00D13A10"/>
    <w:rsid w:val="00D15314"/>
    <w:rsid w:val="00D15DD6"/>
    <w:rsid w:val="00D15FEB"/>
    <w:rsid w:val="00D171B5"/>
    <w:rsid w:val="00D2052C"/>
    <w:rsid w:val="00D20ED8"/>
    <w:rsid w:val="00D21B12"/>
    <w:rsid w:val="00D24FB0"/>
    <w:rsid w:val="00D2586E"/>
    <w:rsid w:val="00D30AD1"/>
    <w:rsid w:val="00D322EB"/>
    <w:rsid w:val="00D32F6B"/>
    <w:rsid w:val="00D4006D"/>
    <w:rsid w:val="00D40721"/>
    <w:rsid w:val="00D42F8B"/>
    <w:rsid w:val="00D43600"/>
    <w:rsid w:val="00D460B3"/>
    <w:rsid w:val="00D463CD"/>
    <w:rsid w:val="00D46D69"/>
    <w:rsid w:val="00D46DB3"/>
    <w:rsid w:val="00D5126B"/>
    <w:rsid w:val="00D51336"/>
    <w:rsid w:val="00D51521"/>
    <w:rsid w:val="00D526A9"/>
    <w:rsid w:val="00D527C0"/>
    <w:rsid w:val="00D53897"/>
    <w:rsid w:val="00D54D2B"/>
    <w:rsid w:val="00D54F26"/>
    <w:rsid w:val="00D54F65"/>
    <w:rsid w:val="00D55D6D"/>
    <w:rsid w:val="00D56EBE"/>
    <w:rsid w:val="00D60BB3"/>
    <w:rsid w:val="00D60DB8"/>
    <w:rsid w:val="00D610D8"/>
    <w:rsid w:val="00D611C4"/>
    <w:rsid w:val="00D616C9"/>
    <w:rsid w:val="00D61A7A"/>
    <w:rsid w:val="00D62456"/>
    <w:rsid w:val="00D6402A"/>
    <w:rsid w:val="00D64F2F"/>
    <w:rsid w:val="00D67AFF"/>
    <w:rsid w:val="00D70D8D"/>
    <w:rsid w:val="00D71438"/>
    <w:rsid w:val="00D723A3"/>
    <w:rsid w:val="00D728EC"/>
    <w:rsid w:val="00D72A92"/>
    <w:rsid w:val="00D73ECE"/>
    <w:rsid w:val="00D74113"/>
    <w:rsid w:val="00D74227"/>
    <w:rsid w:val="00D743F9"/>
    <w:rsid w:val="00D74E6B"/>
    <w:rsid w:val="00D75561"/>
    <w:rsid w:val="00D755EE"/>
    <w:rsid w:val="00D80D69"/>
    <w:rsid w:val="00D81151"/>
    <w:rsid w:val="00D83793"/>
    <w:rsid w:val="00D83E45"/>
    <w:rsid w:val="00D90058"/>
    <w:rsid w:val="00D9033D"/>
    <w:rsid w:val="00D90607"/>
    <w:rsid w:val="00D9131A"/>
    <w:rsid w:val="00D92BE0"/>
    <w:rsid w:val="00D9459A"/>
    <w:rsid w:val="00DA02AA"/>
    <w:rsid w:val="00DA03BD"/>
    <w:rsid w:val="00DA124B"/>
    <w:rsid w:val="00DA1C3E"/>
    <w:rsid w:val="00DA2A70"/>
    <w:rsid w:val="00DA71EB"/>
    <w:rsid w:val="00DB06B9"/>
    <w:rsid w:val="00DB0840"/>
    <w:rsid w:val="00DB0EB3"/>
    <w:rsid w:val="00DB16CB"/>
    <w:rsid w:val="00DB1E0C"/>
    <w:rsid w:val="00DB3F38"/>
    <w:rsid w:val="00DB4EF2"/>
    <w:rsid w:val="00DB4FF2"/>
    <w:rsid w:val="00DB5161"/>
    <w:rsid w:val="00DB5917"/>
    <w:rsid w:val="00DB5E80"/>
    <w:rsid w:val="00DC21C9"/>
    <w:rsid w:val="00DC24B6"/>
    <w:rsid w:val="00DC4985"/>
    <w:rsid w:val="00DC50D4"/>
    <w:rsid w:val="00DC66DF"/>
    <w:rsid w:val="00DC7C64"/>
    <w:rsid w:val="00DD03A0"/>
    <w:rsid w:val="00DD03AA"/>
    <w:rsid w:val="00DD08B2"/>
    <w:rsid w:val="00DD1375"/>
    <w:rsid w:val="00DD2E03"/>
    <w:rsid w:val="00DD330D"/>
    <w:rsid w:val="00DD3F44"/>
    <w:rsid w:val="00DD6408"/>
    <w:rsid w:val="00DE3B5E"/>
    <w:rsid w:val="00DE3E3A"/>
    <w:rsid w:val="00DE59A5"/>
    <w:rsid w:val="00DF0285"/>
    <w:rsid w:val="00DF02B4"/>
    <w:rsid w:val="00DF0F4A"/>
    <w:rsid w:val="00DF21D0"/>
    <w:rsid w:val="00DF30F3"/>
    <w:rsid w:val="00DF5449"/>
    <w:rsid w:val="00DF71AF"/>
    <w:rsid w:val="00E018DD"/>
    <w:rsid w:val="00E02D95"/>
    <w:rsid w:val="00E04C0A"/>
    <w:rsid w:val="00E054BB"/>
    <w:rsid w:val="00E057DD"/>
    <w:rsid w:val="00E06BCD"/>
    <w:rsid w:val="00E06D28"/>
    <w:rsid w:val="00E1043F"/>
    <w:rsid w:val="00E14478"/>
    <w:rsid w:val="00E14F25"/>
    <w:rsid w:val="00E162E1"/>
    <w:rsid w:val="00E21416"/>
    <w:rsid w:val="00E226A8"/>
    <w:rsid w:val="00E22AF7"/>
    <w:rsid w:val="00E22E07"/>
    <w:rsid w:val="00E249DD"/>
    <w:rsid w:val="00E24D04"/>
    <w:rsid w:val="00E25C22"/>
    <w:rsid w:val="00E266ED"/>
    <w:rsid w:val="00E4017A"/>
    <w:rsid w:val="00E414E3"/>
    <w:rsid w:val="00E418C2"/>
    <w:rsid w:val="00E43C54"/>
    <w:rsid w:val="00E43D51"/>
    <w:rsid w:val="00E44DF4"/>
    <w:rsid w:val="00E4503E"/>
    <w:rsid w:val="00E4537A"/>
    <w:rsid w:val="00E4634B"/>
    <w:rsid w:val="00E46913"/>
    <w:rsid w:val="00E51235"/>
    <w:rsid w:val="00E53293"/>
    <w:rsid w:val="00E5439E"/>
    <w:rsid w:val="00E55267"/>
    <w:rsid w:val="00E55683"/>
    <w:rsid w:val="00E562A7"/>
    <w:rsid w:val="00E62010"/>
    <w:rsid w:val="00E62DE9"/>
    <w:rsid w:val="00E661E5"/>
    <w:rsid w:val="00E7021D"/>
    <w:rsid w:val="00E70A28"/>
    <w:rsid w:val="00E70E23"/>
    <w:rsid w:val="00E75011"/>
    <w:rsid w:val="00E7729E"/>
    <w:rsid w:val="00E81BAB"/>
    <w:rsid w:val="00E82661"/>
    <w:rsid w:val="00E840FE"/>
    <w:rsid w:val="00E866E1"/>
    <w:rsid w:val="00E8697A"/>
    <w:rsid w:val="00E86D0A"/>
    <w:rsid w:val="00E87C4B"/>
    <w:rsid w:val="00E905E5"/>
    <w:rsid w:val="00E918E4"/>
    <w:rsid w:val="00E91976"/>
    <w:rsid w:val="00EA08F0"/>
    <w:rsid w:val="00EA3769"/>
    <w:rsid w:val="00EA3CE2"/>
    <w:rsid w:val="00EA4205"/>
    <w:rsid w:val="00EA43AF"/>
    <w:rsid w:val="00EA4F01"/>
    <w:rsid w:val="00EA5DE6"/>
    <w:rsid w:val="00EA6C2C"/>
    <w:rsid w:val="00EA7BFB"/>
    <w:rsid w:val="00EB24D4"/>
    <w:rsid w:val="00EB2B0E"/>
    <w:rsid w:val="00EB3012"/>
    <w:rsid w:val="00EB31CF"/>
    <w:rsid w:val="00EB3FC3"/>
    <w:rsid w:val="00EB4548"/>
    <w:rsid w:val="00EB5201"/>
    <w:rsid w:val="00EB5CE1"/>
    <w:rsid w:val="00EB6569"/>
    <w:rsid w:val="00EB7C6A"/>
    <w:rsid w:val="00EC0CF1"/>
    <w:rsid w:val="00EC16CD"/>
    <w:rsid w:val="00EC1A48"/>
    <w:rsid w:val="00EC1D55"/>
    <w:rsid w:val="00EC5661"/>
    <w:rsid w:val="00EC59A6"/>
    <w:rsid w:val="00EC6033"/>
    <w:rsid w:val="00ED1401"/>
    <w:rsid w:val="00ED2413"/>
    <w:rsid w:val="00ED4AFF"/>
    <w:rsid w:val="00EE00AA"/>
    <w:rsid w:val="00EE02CB"/>
    <w:rsid w:val="00EE0373"/>
    <w:rsid w:val="00EE2502"/>
    <w:rsid w:val="00EE2883"/>
    <w:rsid w:val="00EE2CAA"/>
    <w:rsid w:val="00EE75C5"/>
    <w:rsid w:val="00EE76ED"/>
    <w:rsid w:val="00EE782D"/>
    <w:rsid w:val="00EF0509"/>
    <w:rsid w:val="00EF12BC"/>
    <w:rsid w:val="00EF1474"/>
    <w:rsid w:val="00EF207D"/>
    <w:rsid w:val="00EF267D"/>
    <w:rsid w:val="00EF2BF9"/>
    <w:rsid w:val="00EF5215"/>
    <w:rsid w:val="00EF6771"/>
    <w:rsid w:val="00EF6F92"/>
    <w:rsid w:val="00EF78A3"/>
    <w:rsid w:val="00F00602"/>
    <w:rsid w:val="00F00F79"/>
    <w:rsid w:val="00F01116"/>
    <w:rsid w:val="00F01A64"/>
    <w:rsid w:val="00F024E7"/>
    <w:rsid w:val="00F0757A"/>
    <w:rsid w:val="00F0759D"/>
    <w:rsid w:val="00F0759E"/>
    <w:rsid w:val="00F14083"/>
    <w:rsid w:val="00F14C0F"/>
    <w:rsid w:val="00F1740D"/>
    <w:rsid w:val="00F207F8"/>
    <w:rsid w:val="00F21109"/>
    <w:rsid w:val="00F232D0"/>
    <w:rsid w:val="00F25B68"/>
    <w:rsid w:val="00F2695D"/>
    <w:rsid w:val="00F31FC5"/>
    <w:rsid w:val="00F3297D"/>
    <w:rsid w:val="00F334C8"/>
    <w:rsid w:val="00F35E1F"/>
    <w:rsid w:val="00F362E9"/>
    <w:rsid w:val="00F36B5D"/>
    <w:rsid w:val="00F400E7"/>
    <w:rsid w:val="00F41A6D"/>
    <w:rsid w:val="00F41F46"/>
    <w:rsid w:val="00F42282"/>
    <w:rsid w:val="00F42BE4"/>
    <w:rsid w:val="00F432E6"/>
    <w:rsid w:val="00F437EA"/>
    <w:rsid w:val="00F465BC"/>
    <w:rsid w:val="00F54F5F"/>
    <w:rsid w:val="00F55223"/>
    <w:rsid w:val="00F56A85"/>
    <w:rsid w:val="00F57D6D"/>
    <w:rsid w:val="00F60002"/>
    <w:rsid w:val="00F604D7"/>
    <w:rsid w:val="00F615F6"/>
    <w:rsid w:val="00F64B14"/>
    <w:rsid w:val="00F67C52"/>
    <w:rsid w:val="00F7043F"/>
    <w:rsid w:val="00F7106F"/>
    <w:rsid w:val="00F74E3C"/>
    <w:rsid w:val="00F7625D"/>
    <w:rsid w:val="00F77B7C"/>
    <w:rsid w:val="00F82B40"/>
    <w:rsid w:val="00F83EA2"/>
    <w:rsid w:val="00F87799"/>
    <w:rsid w:val="00F94F7B"/>
    <w:rsid w:val="00FA14E6"/>
    <w:rsid w:val="00FA19C1"/>
    <w:rsid w:val="00FA2423"/>
    <w:rsid w:val="00FA5956"/>
    <w:rsid w:val="00FA65C3"/>
    <w:rsid w:val="00FA7B50"/>
    <w:rsid w:val="00FB0C32"/>
    <w:rsid w:val="00FB0C3D"/>
    <w:rsid w:val="00FB160E"/>
    <w:rsid w:val="00FB1D79"/>
    <w:rsid w:val="00FB231C"/>
    <w:rsid w:val="00FB249F"/>
    <w:rsid w:val="00FB2894"/>
    <w:rsid w:val="00FB2ADD"/>
    <w:rsid w:val="00FB3328"/>
    <w:rsid w:val="00FB4A7F"/>
    <w:rsid w:val="00FB56EA"/>
    <w:rsid w:val="00FB6127"/>
    <w:rsid w:val="00FB6ABE"/>
    <w:rsid w:val="00FB7655"/>
    <w:rsid w:val="00FB77CE"/>
    <w:rsid w:val="00FB7925"/>
    <w:rsid w:val="00FC3C2B"/>
    <w:rsid w:val="00FC5B0F"/>
    <w:rsid w:val="00FD05FE"/>
    <w:rsid w:val="00FD09FB"/>
    <w:rsid w:val="00FD17D1"/>
    <w:rsid w:val="00FD1E0E"/>
    <w:rsid w:val="00FD2220"/>
    <w:rsid w:val="00FD22FD"/>
    <w:rsid w:val="00FD2971"/>
    <w:rsid w:val="00FD53F0"/>
    <w:rsid w:val="00FD6A7D"/>
    <w:rsid w:val="00FD6CE9"/>
    <w:rsid w:val="00FD76F6"/>
    <w:rsid w:val="00FE02D5"/>
    <w:rsid w:val="00FE0D5A"/>
    <w:rsid w:val="00FE3E50"/>
    <w:rsid w:val="00FE461F"/>
    <w:rsid w:val="00FE4B17"/>
    <w:rsid w:val="00FE5F93"/>
    <w:rsid w:val="00FE7597"/>
    <w:rsid w:val="00FE7A8B"/>
    <w:rsid w:val="00FF08F2"/>
    <w:rsid w:val="00FF2B6D"/>
    <w:rsid w:val="00FF55B3"/>
    <w:rsid w:val="00FF5F84"/>
    <w:rsid w:val="0C2F08C9"/>
    <w:rsid w:val="0CE80FD9"/>
    <w:rsid w:val="1143073F"/>
    <w:rsid w:val="118C0164"/>
    <w:rsid w:val="12123B76"/>
    <w:rsid w:val="127E2749"/>
    <w:rsid w:val="146D5715"/>
    <w:rsid w:val="148A0845"/>
    <w:rsid w:val="15733AAB"/>
    <w:rsid w:val="18457764"/>
    <w:rsid w:val="1FEF7BE9"/>
    <w:rsid w:val="20F56007"/>
    <w:rsid w:val="25491A3C"/>
    <w:rsid w:val="2F0A0F0E"/>
    <w:rsid w:val="31ED6926"/>
    <w:rsid w:val="31F745D9"/>
    <w:rsid w:val="343A03B5"/>
    <w:rsid w:val="3966707C"/>
    <w:rsid w:val="39C54132"/>
    <w:rsid w:val="3B256E9B"/>
    <w:rsid w:val="3C823C60"/>
    <w:rsid w:val="40F31245"/>
    <w:rsid w:val="42C85C91"/>
    <w:rsid w:val="4CFB1692"/>
    <w:rsid w:val="4E390B0B"/>
    <w:rsid w:val="50C919F8"/>
    <w:rsid w:val="52994902"/>
    <w:rsid w:val="552F5307"/>
    <w:rsid w:val="55B97B5D"/>
    <w:rsid w:val="56472F54"/>
    <w:rsid w:val="58827E42"/>
    <w:rsid w:val="58865289"/>
    <w:rsid w:val="5B1A22B7"/>
    <w:rsid w:val="5E140213"/>
    <w:rsid w:val="5E4C78F4"/>
    <w:rsid w:val="5F9D4AE8"/>
    <w:rsid w:val="62447A8D"/>
    <w:rsid w:val="65AE5305"/>
    <w:rsid w:val="67A25E28"/>
    <w:rsid w:val="716E3DC4"/>
    <w:rsid w:val="71FE151C"/>
    <w:rsid w:val="729C035E"/>
    <w:rsid w:val="73224307"/>
    <w:rsid w:val="776A7BDD"/>
    <w:rsid w:val="799406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99"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character" w:default="1" w:styleId="15">
    <w:name w:val="Default Paragraph Font"/>
    <w:semiHidden/>
    <w:uiPriority w:val="0"/>
  </w:style>
  <w:style w:type="table" w:default="1" w:styleId="12">
    <w:name w:val="Normal Table"/>
    <w:semiHidden/>
    <w:uiPriority w:val="0"/>
    <w:tblPr>
      <w:tblStyle w:val="12"/>
      <w:tblCellMar>
        <w:top w:w="0" w:type="dxa"/>
        <w:left w:w="108" w:type="dxa"/>
        <w:bottom w:w="0" w:type="dxa"/>
        <w:right w:w="108" w:type="dxa"/>
      </w:tblCellMar>
    </w:tblPr>
  </w:style>
  <w:style w:type="paragraph" w:styleId="2">
    <w:name w:val="table of figures"/>
    <w:next w:val="1"/>
    <w:qFormat/>
    <w:uiPriority w:val="0"/>
    <w:pPr>
      <w:widowControl w:val="0"/>
      <w:spacing w:line="360" w:lineRule="auto"/>
      <w:ind w:left="200" w:leftChars="200" w:hanging="200" w:hangingChars="200"/>
      <w:jc w:val="both"/>
    </w:pPr>
    <w:rPr>
      <w:rFonts w:ascii="仿宋_GB2312" w:hAnsi="仿宋_GB2312" w:eastAsia="仿宋_GB2312" w:cs="Times New Roman"/>
      <w:snapToGrid w:val="0"/>
      <w:kern w:val="2"/>
      <w:sz w:val="36"/>
      <w:szCs w:val="22"/>
      <w:lang w:val="en-US" w:eastAsia="zh-CN" w:bidi="ar-SA"/>
    </w:rPr>
  </w:style>
  <w:style w:type="paragraph" w:styleId="3">
    <w:name w:val="annotation text"/>
    <w:basedOn w:val="1"/>
    <w:link w:val="18"/>
    <w:uiPriority w:val="0"/>
    <w:pPr>
      <w:jc w:val="left"/>
    </w:pPr>
  </w:style>
  <w:style w:type="paragraph" w:styleId="4">
    <w:name w:val="Body Text Indent"/>
    <w:basedOn w:val="1"/>
    <w:uiPriority w:val="0"/>
    <w:pPr>
      <w:ind w:firstLine="576"/>
    </w:pPr>
    <w:rPr>
      <w:rFonts w:ascii="仿宋_GB2312" w:eastAsia="仿宋_GB2312"/>
      <w:sz w:val="28"/>
      <w:szCs w:val="24"/>
    </w:rPr>
  </w:style>
  <w:style w:type="paragraph" w:styleId="5">
    <w:name w:val="Plain Text"/>
    <w:basedOn w:val="1"/>
    <w:link w:val="19"/>
    <w:uiPriority w:val="99"/>
    <w:rPr>
      <w:rFonts w:ascii="宋体" w:hAnsi="Courier New"/>
    </w:rPr>
  </w:style>
  <w:style w:type="paragraph" w:styleId="6">
    <w:name w:val="Date"/>
    <w:basedOn w:val="1"/>
    <w:next w:val="1"/>
    <w:uiPriority w:val="0"/>
    <w:pPr>
      <w:adjustRightInd w:val="0"/>
      <w:spacing w:line="312" w:lineRule="atLeast"/>
      <w:jc w:val="right"/>
      <w:textAlignment w:val="baseline"/>
    </w:pPr>
    <w:rPr>
      <w:kern w:val="0"/>
    </w:rPr>
  </w:style>
  <w:style w:type="paragraph" w:styleId="7">
    <w:name w:val="Balloon Text"/>
    <w:basedOn w:val="1"/>
    <w:semiHidden/>
    <w:uiPriority w:val="0"/>
    <w:rPr>
      <w:sz w:val="18"/>
      <w:szCs w:val="18"/>
    </w:rPr>
  </w:style>
  <w:style w:type="paragraph" w:styleId="8">
    <w:name w:val="footer"/>
    <w:basedOn w:val="1"/>
    <w:link w:val="20"/>
    <w:uiPriority w:val="0"/>
    <w:pPr>
      <w:tabs>
        <w:tab w:val="center" w:pos="4153"/>
        <w:tab w:val="right" w:pos="8306"/>
      </w:tabs>
      <w:snapToGrid w:val="0"/>
      <w:jc w:val="left"/>
    </w:pPr>
    <w:rPr>
      <w:sz w:val="18"/>
      <w:szCs w:val="18"/>
    </w:rPr>
  </w:style>
  <w:style w:type="paragraph" w:styleId="9">
    <w:name w:val="header"/>
    <w:basedOn w:val="1"/>
    <w:link w:val="21"/>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paragraph" w:styleId="11">
    <w:name w:val="annotation subject"/>
    <w:basedOn w:val="3"/>
    <w:next w:val="3"/>
    <w:link w:val="22"/>
    <w:uiPriority w:val="0"/>
    <w:rPr>
      <w:b/>
      <w:bCs/>
    </w:rPr>
  </w:style>
  <w:style w:type="table" w:styleId="13">
    <w:name w:val="Table Grid"/>
    <w:basedOn w:val="12"/>
    <w:uiPriority w:val="0"/>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4">
    <w:name w:val="Table Classic 1"/>
    <w:basedOn w:val="12"/>
    <w:uiPriority w:val="0"/>
    <w:pPr>
      <w:widowControl w:val="0"/>
      <w:jc w:val="both"/>
    </w:pPr>
    <w:tblPr>
      <w:tblStyle w:val="12"/>
      <w:tblBorders>
        <w:top w:val="single" w:color="000000" w:sz="12" w:space="0"/>
        <w:bottom w:val="single" w:color="000000" w:sz="12" w:space="0"/>
      </w:tblBorders>
    </w:tblPr>
    <w:tcPr>
      <w:shd w:val="clear" w:color="auto" w:fill="auto"/>
    </w:tcPr>
    <w:tblStylePr w:type="firstRow">
      <w:rPr>
        <w:i/>
        <w:iCs/>
      </w:rPr>
      <w:tblPr>
        <w:tblStyle w:val="12"/>
      </w:tblPr>
      <w:tcPr>
        <w:tcBorders>
          <w:top w:val="nil"/>
          <w:left w:val="single" w:color="000000" w:sz="6" w:space="0"/>
          <w:bottom w:val="nil"/>
          <w:right w:val="nil"/>
          <w:insideH w:val="nil"/>
          <w:insideV w:val="nil"/>
          <w:tl2br w:val="nil"/>
          <w:tr2bl w:val="nil"/>
        </w:tcBorders>
      </w:tcPr>
    </w:tblStylePr>
    <w:tblStylePr w:type="lastRow">
      <w:rPr>
        <w:color w:val="auto"/>
      </w:rPr>
      <w:tblPr>
        <w:tblStyle w:val="12"/>
      </w:tblPr>
      <w:tcPr>
        <w:tcBorders>
          <w:top w:val="single" w:color="000000" w:sz="6" w:space="0"/>
          <w:left w:val="nil"/>
          <w:bottom w:val="nil"/>
          <w:right w:val="nil"/>
          <w:insideH w:val="nil"/>
          <w:insideV w:val="nil"/>
          <w:tl2br w:val="nil"/>
          <w:tr2bl w:val="nil"/>
        </w:tcBorders>
      </w:tcPr>
    </w:tblStylePr>
    <w:tblStylePr w:type="firstCol">
      <w:tblPr>
        <w:tblStyle w:val="12"/>
      </w:tblPr>
      <w:tcPr>
        <w:tcBorders>
          <w:top w:val="nil"/>
          <w:left w:val="nil"/>
          <w:bottom w:val="nil"/>
          <w:right w:val="single" w:color="000000" w:sz="6" w:space="0"/>
          <w:insideH w:val="nil"/>
          <w:insideV w:val="nil"/>
          <w:tl2br w:val="nil"/>
          <w:tr2bl w:val="nil"/>
        </w:tcBorders>
      </w:tcPr>
    </w:tblStylePr>
    <w:tblStylePr w:type="neCell">
      <w:rPr>
        <w:b/>
        <w:bCs/>
        <w:i w:val="0"/>
        <w:iCs w:val="0"/>
      </w:rPr>
      <w:tblPr>
        <w:tblStyle w:val="12"/>
      </w:tblPr>
      <w:tcPr>
        <w:tcBorders>
          <w:top w:val="nil"/>
          <w:left w:val="nil"/>
          <w:bottom w:val="nil"/>
          <w:right w:val="nil"/>
          <w:insideH w:val="nil"/>
          <w:insideV w:val="nil"/>
          <w:tl2br w:val="nil"/>
          <w:tr2bl w:val="nil"/>
        </w:tcBorders>
      </w:tcPr>
    </w:tblStylePr>
    <w:tblStylePr w:type="swCell">
      <w:rPr>
        <w:b/>
        <w:bCs/>
      </w:rPr>
      <w:tblPr>
        <w:tblStyle w:val="12"/>
      </w:tblPr>
      <w:tcPr>
        <w:tcBorders>
          <w:top w:val="nil"/>
          <w:left w:val="nil"/>
          <w:bottom w:val="nil"/>
          <w:right w:val="nil"/>
          <w:insideH w:val="nil"/>
          <w:insideV w:val="nil"/>
          <w:tl2br w:val="nil"/>
          <w:tr2bl w:val="nil"/>
        </w:tcBorders>
      </w:tcPr>
    </w:tblStylePr>
  </w:style>
  <w:style w:type="character" w:styleId="16">
    <w:name w:val="Hyperlink"/>
    <w:uiPriority w:val="0"/>
    <w:rPr>
      <w:color w:val="0000FF"/>
      <w:u w:val="single"/>
    </w:rPr>
  </w:style>
  <w:style w:type="character" w:styleId="17">
    <w:name w:val="annotation reference"/>
    <w:uiPriority w:val="0"/>
    <w:rPr>
      <w:sz w:val="21"/>
      <w:szCs w:val="21"/>
    </w:rPr>
  </w:style>
  <w:style w:type="character" w:customStyle="1" w:styleId="18">
    <w:name w:val="批注文字 Char"/>
    <w:link w:val="3"/>
    <w:uiPriority w:val="0"/>
    <w:rPr>
      <w:kern w:val="2"/>
      <w:sz w:val="21"/>
    </w:rPr>
  </w:style>
  <w:style w:type="character" w:customStyle="1" w:styleId="19">
    <w:name w:val="纯文本 Char"/>
    <w:link w:val="5"/>
    <w:uiPriority w:val="99"/>
    <w:rPr>
      <w:rFonts w:ascii="宋体" w:hAnsi="Courier New"/>
      <w:kern w:val="2"/>
      <w:sz w:val="21"/>
    </w:rPr>
  </w:style>
  <w:style w:type="character" w:customStyle="1" w:styleId="20">
    <w:name w:val="页脚 Char"/>
    <w:link w:val="8"/>
    <w:uiPriority w:val="0"/>
    <w:rPr>
      <w:kern w:val="2"/>
      <w:sz w:val="18"/>
      <w:szCs w:val="18"/>
    </w:rPr>
  </w:style>
  <w:style w:type="character" w:customStyle="1" w:styleId="21">
    <w:name w:val="页眉 Char"/>
    <w:link w:val="9"/>
    <w:uiPriority w:val="0"/>
    <w:rPr>
      <w:kern w:val="2"/>
      <w:sz w:val="18"/>
      <w:szCs w:val="18"/>
    </w:rPr>
  </w:style>
  <w:style w:type="character" w:customStyle="1" w:styleId="22">
    <w:name w:val="批注主题 Char"/>
    <w:link w:val="11"/>
    <w:uiPriority w:val="0"/>
    <w:rPr>
      <w:b/>
      <w:bCs/>
      <w:kern w:val="2"/>
      <w:sz w:val="21"/>
    </w:rPr>
  </w:style>
  <w:style w:type="paragraph" w:customStyle="1" w:styleId="23">
    <w:name w:val="CM3"/>
    <w:basedOn w:val="1"/>
    <w:next w:val="1"/>
    <w:uiPriority w:val="0"/>
    <w:pPr>
      <w:autoSpaceDE w:val="0"/>
      <w:autoSpaceDN w:val="0"/>
      <w:adjustRightInd w:val="0"/>
      <w:spacing w:after="468"/>
      <w:jc w:val="left"/>
    </w:pPr>
    <w:rPr>
      <w:rFonts w:ascii="宋体"/>
      <w:kern w:val="0"/>
      <w:sz w:val="24"/>
      <w:szCs w:val="24"/>
    </w:rPr>
  </w:style>
  <w:style w:type="paragraph" w:customStyle="1" w:styleId="24">
    <w:name w:val=" Char Char Char Char Char Char Char Char Char"/>
    <w:basedOn w:val="1"/>
    <w:uiPriority w:val="0"/>
    <w:pPr>
      <w:numPr>
        <w:ilvl w:val="0"/>
        <w:numId w:val="1"/>
      </w:numPr>
    </w:pPr>
    <w:rPr>
      <w:sz w:val="24"/>
      <w:szCs w:val="24"/>
    </w:rPr>
  </w:style>
  <w:style w:type="paragraph" w:customStyle="1" w:styleId="25">
    <w:name w:val="CM2"/>
    <w:basedOn w:val="1"/>
    <w:next w:val="1"/>
    <w:uiPriority w:val="0"/>
    <w:pPr>
      <w:autoSpaceDE w:val="0"/>
      <w:autoSpaceDN w:val="0"/>
      <w:adjustRightInd w:val="0"/>
      <w:spacing w:line="511" w:lineRule="atLeast"/>
      <w:jc w:val="left"/>
    </w:pPr>
    <w:rPr>
      <w:rFonts w:ascii="宋体"/>
      <w:kern w:val="0"/>
      <w:sz w:val="24"/>
      <w:szCs w:val="24"/>
    </w:rPr>
  </w:style>
  <w:style w:type="paragraph" w:customStyle="1" w:styleId="26">
    <w:name w:val="Default"/>
    <w:uiPriority w:val="0"/>
    <w:pPr>
      <w:widowControl w:val="0"/>
      <w:autoSpaceDE w:val="0"/>
      <w:autoSpaceDN w:val="0"/>
      <w:adjustRightInd w:val="0"/>
    </w:pPr>
    <w:rPr>
      <w:rFonts w:ascii="宋体" w:hAnsi="Calibri" w:cs="宋体"/>
      <w:color w:val="000000"/>
      <w:sz w:val="24"/>
      <w:szCs w:val="24"/>
      <w:lang w:val="en-US" w:eastAsia="zh-CN" w:bidi="ar-SA"/>
    </w:rPr>
  </w:style>
  <w:style w:type="character" w:customStyle="1" w:styleId="27">
    <w:name w:val="fontstyle01"/>
    <w:uiPriority w:val="0"/>
    <w:rPr>
      <w:rFonts w:hint="eastAsia" w:ascii="宋体" w:hAnsi="宋体" w:eastAsia="宋体"/>
      <w:color w:val="000000"/>
      <w:sz w:val="24"/>
      <w:szCs w:val="24"/>
    </w:rPr>
  </w:style>
  <w:style w:type="paragraph" w:customStyle="1" w:styleId="28">
    <w:name w:val="CM11"/>
    <w:basedOn w:val="1"/>
    <w:next w:val="1"/>
    <w:uiPriority w:val="0"/>
    <w:pPr>
      <w:autoSpaceDE w:val="0"/>
      <w:autoSpaceDN w:val="0"/>
      <w:adjustRightInd w:val="0"/>
      <w:spacing w:line="626" w:lineRule="atLeast"/>
      <w:jc w:val="left"/>
    </w:pPr>
    <w:rPr>
      <w:rFonts w:ascii="仿宋_GB2312" w:eastAsia="仿宋_GB2312"/>
      <w:kern w:val="0"/>
      <w:sz w:val="24"/>
      <w:szCs w:val="24"/>
    </w:rPr>
  </w:style>
  <w:style w:type="paragraph" w:customStyle="1" w:styleId="29">
    <w:name w:val="CM10"/>
    <w:basedOn w:val="26"/>
    <w:next w:val="26"/>
    <w:uiPriority w:val="0"/>
    <w:pPr>
      <w:spacing w:after="723"/>
    </w:pPr>
    <w:rPr>
      <w:rFonts w:ascii="黑体" w:hAnsi="Times New Roman" w:eastAsia="黑体" w:cs="Times New Roman"/>
      <w:color w:val="auto"/>
    </w:rPr>
  </w:style>
  <w:style w:type="paragraph" w:styleId="30">
    <w:name w:val="List Paragraph"/>
    <w:basedOn w:val="1"/>
    <w:qFormat/>
    <w:uiPriority w:val="34"/>
    <w:pPr>
      <w:ind w:firstLine="420" w:firstLineChars="200"/>
    </w:pPr>
  </w:style>
  <w:style w:type="character" w:customStyle="1" w:styleId="31">
    <w:name w:val="font01"/>
    <w:basedOn w:val="15"/>
    <w:qFormat/>
    <w:uiPriority w:val="0"/>
    <w:rPr>
      <w:rFonts w:hint="default" w:ascii="Times New Roman" w:hAnsi="Times New Roman" w:cs="Times New Roman"/>
      <w:color w:val="000000"/>
      <w:sz w:val="18"/>
      <w:szCs w:val="18"/>
      <w:u w:val="none"/>
    </w:rPr>
  </w:style>
  <w:style w:type="paragraph" w:customStyle="1" w:styleId="32">
    <w:name w:val="立信附注正文 [3级]"/>
    <w:qFormat/>
    <w:uiPriority w:val="0"/>
    <w:pPr>
      <w:widowControl w:val="0"/>
      <w:tabs>
        <w:tab w:val="left" w:pos="0"/>
      </w:tabs>
      <w:adjustRightInd w:val="0"/>
      <w:snapToGrid w:val="0"/>
      <w:spacing w:line="400" w:lineRule="atLeast"/>
      <w:ind w:left="1276"/>
      <w:jc w:val="both"/>
    </w:pPr>
    <w:rPr>
      <w:rFonts w:ascii="Times New Roman" w:hAnsi="Times New Roman" w:eastAsia="宋体" w:cs="Times New Roman"/>
      <w:color w:val="000000"/>
      <w:kern w:val="2"/>
      <w:sz w:val="21"/>
      <w:szCs w:val="21"/>
      <w:lang w:val="en-US" w:eastAsia="zh-CN" w:bidi="ar-SA"/>
    </w:rPr>
  </w:style>
  <w:style w:type="table" w:customStyle="1" w:styleId="33">
    <w:name w:val="立信年报表格 [2级]"/>
    <w:basedOn w:val="12"/>
    <w:qFormat/>
    <w:uiPriority w:val="0"/>
    <w:pPr>
      <w:jc w:val="both"/>
    </w:pPr>
    <w:rPr>
      <w:rFonts w:ascii="Times New Roman" w:hAnsi="Times New Roman" w:eastAsia="宋体" w:cs="Times New Roman"/>
      <w:color w:val="000000"/>
      <w:sz w:val="18"/>
    </w:rPr>
    <w:tblPr>
      <w:tblStyle w:val="12"/>
      <w:tblBorders>
        <w:top w:val="single" w:color="auto" w:sz="12" w:space="0"/>
        <w:bottom w:val="single" w:color="auto" w:sz="12" w:space="0"/>
        <w:insideH w:val="dotted" w:color="auto" w:sz="4" w:space="0"/>
        <w:insideV w:val="dotted" w:color="auto" w:sz="4" w:space="0"/>
      </w:tblBorders>
    </w:tblPr>
    <w:tcPr>
      <w:shd w:val="clear" w:color="auto" w:fill="auto"/>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366</Words>
  <Characters>2092</Characters>
  <Lines>17</Lines>
  <Paragraphs>4</Paragraphs>
  <TotalTime>0</TotalTime>
  <ScaleCrop>false</ScaleCrop>
  <LinksUpToDate>false</LinksUpToDate>
  <CharactersWithSpaces>2454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2020-10-28T06:19:00Z</dcterms:created>
  <dc:creator>qw</dc:creator>
  <cp:lastModifiedBy>海涛</cp:lastModifiedBy>
  <cp:lastPrinted>2017-05-27T01:49:00Z</cp:lastPrinted>
  <dcterms:modified xsi:type="dcterms:W3CDTF">2024-04-26T07:10:28Z</dcterms:modified>
  <cp:revision>170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862F84076F6B4225B48817FA87C9FAD5_13</vt:lpwstr>
  </property>
</Properties>
</file>